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莲花山度假区法治社会建设实施方案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简体" w:hAnsi="华文中宋" w:eastAsia="方正小标宋简体" w:cs="华文中宋"/>
          <w:bCs/>
          <w:sz w:val="44"/>
          <w:szCs w:val="44"/>
        </w:rPr>
      </w:pPr>
      <w:r>
        <w:rPr>
          <w:rFonts w:hint="eastAsia" w:ascii="方正小标宋简体" w:hAnsi="华文中宋" w:eastAsia="方正小标宋简体" w:cs="华文中宋"/>
          <w:bCs/>
          <w:sz w:val="44"/>
          <w:szCs w:val="44"/>
        </w:rPr>
        <w:t>（2021 - 2025年）</w:t>
      </w:r>
    </w:p>
    <w:p>
      <w:pPr>
        <w:keepNext w:val="0"/>
        <w:keepLines w:val="0"/>
        <w:pageBreakBefore w:val="0"/>
        <w:kinsoku/>
        <w:wordWrap/>
        <w:overflowPunct/>
        <w:topLinePunct w:val="0"/>
        <w:autoSpaceDE/>
        <w:autoSpaceDN/>
        <w:bidi w:val="0"/>
        <w:adjustRightInd/>
        <w:snapToGrid/>
        <w:spacing w:line="560" w:lineRule="exact"/>
        <w:ind w:firstLine="594" w:firstLineChars="200"/>
        <w:jc w:val="center"/>
        <w:textAlignment w:val="auto"/>
        <w:rPr>
          <w:rFonts w:ascii="仿宋_GB2312" w:hAnsi="仿宋_GB2312" w:eastAsia="仿宋_GB2312" w:cs="仿宋_GB2312"/>
          <w:szCs w:val="32"/>
        </w:rPr>
      </w:pP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napToGrid w:val="0"/>
          <w:kern w:val="0"/>
          <w:szCs w:val="32"/>
        </w:rPr>
        <w:t>为深入推进莲花山度假区法治社会建设工作，根据中共中央《法治社会建设实施纲要（2020—2025年）》、市委《法治长春建设实施方案（2020—2025年）》，结合我区实际，制定本方案。</w:t>
      </w:r>
    </w:p>
    <w:p>
      <w:pPr>
        <w:keepNext w:val="0"/>
        <w:keepLines w:val="0"/>
        <w:pageBreakBefore w:val="0"/>
        <w:kinsoku/>
        <w:wordWrap/>
        <w:overflowPunct/>
        <w:topLinePunct w:val="0"/>
        <w:autoSpaceDE/>
        <w:autoSpaceDN/>
        <w:bidi w:val="0"/>
        <w:adjustRightInd/>
        <w:snapToGrid/>
        <w:spacing w:line="560" w:lineRule="exact"/>
        <w:ind w:firstLine="739" w:firstLineChars="249"/>
        <w:textAlignment w:val="auto"/>
        <w:rPr>
          <w:rFonts w:ascii="黑体" w:hAnsi="黑体" w:eastAsia="黑体"/>
        </w:rPr>
      </w:pPr>
      <w:r>
        <w:rPr>
          <w:rFonts w:hint="eastAsia" w:ascii="黑体" w:hAnsi="黑体" w:eastAsia="黑体"/>
        </w:rPr>
        <w:t>一、总体要求</w:t>
      </w:r>
    </w:p>
    <w:p>
      <w:pPr>
        <w:keepNext w:val="0"/>
        <w:keepLines w:val="0"/>
        <w:pageBreakBefore w:val="0"/>
        <w:kinsoku/>
        <w:wordWrap/>
        <w:overflowPunct/>
        <w:topLinePunct w:val="0"/>
        <w:autoSpaceDE/>
        <w:autoSpaceDN/>
        <w:bidi w:val="0"/>
        <w:adjustRightInd/>
        <w:snapToGrid/>
        <w:spacing w:line="560" w:lineRule="exact"/>
        <w:ind w:firstLine="446" w:firstLineChars="150"/>
        <w:textAlignment w:val="auto"/>
        <w:rPr>
          <w:rFonts w:ascii="黑体" w:hAnsi="黑体" w:eastAsia="黑体"/>
        </w:rPr>
      </w:pPr>
      <w:r>
        <w:rPr>
          <w:rFonts w:hint="eastAsia" w:ascii="楷体_GB2312" w:hAnsi="楷体" w:eastAsia="楷体_GB2312" w:cs="楷体"/>
          <w:b/>
          <w:bCs/>
          <w:snapToGrid w:val="0"/>
          <w:kern w:val="0"/>
        </w:rPr>
        <w:t>（一）指导思想。</w:t>
      </w:r>
      <w:r>
        <w:rPr>
          <w:rFonts w:hint="eastAsia" w:ascii="仿宋_GB2312" w:hAnsi="仿宋" w:eastAsia="仿宋_GB2312" w:cs="仿宋"/>
          <w:snapToGrid w:val="0"/>
          <w:kern w:val="0"/>
        </w:rPr>
        <w:t>坚持以习近平新时代中国特色社会主义思想为指导，全面贯彻党的十九大和十九届二中、三中、四中、五中全会精神，深入贯彻习近平法治思想，增强“四个意识”、坚定“四个自信”、做到“两个维护”，坚定不移走中国特色社会主义法治道路，坚持法治莲花山、法治政府、法治社会一体建设，培育和践行社会主义核心价值观，弘扬法治精神，建设法治文化，增强全社会厉行法治的积极性和主动性，推动全社会尊法学法守法用法，健全社会公平正义法治保障制度，保障人民权利，提高社会治理法治化水平，</w:t>
      </w:r>
      <w:r>
        <w:rPr>
          <w:rFonts w:hint="eastAsia" w:ascii="仿宋_GB2312" w:eastAsia="仿宋_GB2312"/>
          <w:snapToGrid w:val="0"/>
          <w:kern w:val="0"/>
          <w:szCs w:val="32"/>
        </w:rPr>
        <w:t>为推动莲花山高质量发展筑牢法治根基。</w:t>
      </w:r>
    </w:p>
    <w:p>
      <w:pPr>
        <w:keepNext w:val="0"/>
        <w:keepLines w:val="0"/>
        <w:pageBreakBefore w:val="0"/>
        <w:kinsoku/>
        <w:wordWrap/>
        <w:overflowPunct/>
        <w:topLinePunct w:val="0"/>
        <w:autoSpaceDE/>
        <w:autoSpaceDN/>
        <w:bidi w:val="0"/>
        <w:adjustRightInd/>
        <w:snapToGrid/>
        <w:spacing w:line="560" w:lineRule="exact"/>
        <w:ind w:firstLine="446" w:firstLineChars="150"/>
        <w:textAlignment w:val="auto"/>
        <w:rPr>
          <w:rFonts w:ascii="仿宋_GB2312" w:hAnsi="仿宋" w:eastAsia="仿宋_GB2312" w:cs="仿宋"/>
          <w:snapToGrid w:val="0"/>
          <w:kern w:val="0"/>
        </w:rPr>
      </w:pPr>
      <w:r>
        <w:rPr>
          <w:rFonts w:hint="eastAsia" w:ascii="楷体_GB2312" w:hAnsi="楷体" w:eastAsia="楷体_GB2312" w:cs="楷体"/>
          <w:b/>
          <w:bCs/>
          <w:snapToGrid w:val="0"/>
          <w:kern w:val="0"/>
        </w:rPr>
        <w:t>（二）主要原则。</w:t>
      </w:r>
      <w:r>
        <w:rPr>
          <w:rFonts w:hint="eastAsia" w:ascii="仿宋_GB2312" w:hAnsi="仿宋" w:eastAsia="仿宋_GB2312" w:cs="仿宋"/>
          <w:snapToGrid w:val="0"/>
          <w:kern w:val="0"/>
        </w:rPr>
        <w:t>坚持党的集中统一领导;坚持以中国特色社会主义法治理论为指导;坚持以人民为中心;坚持尊重和维护宪法法律权威;坚持法律面前人人平等;坚持权利与义务相统一;坚持法治、德治、自治相结合;坚持社会治理共建共治共享。</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s="仿宋"/>
          <w:snapToGrid w:val="0"/>
          <w:kern w:val="0"/>
        </w:rPr>
      </w:pPr>
      <w:r>
        <w:rPr>
          <w:rFonts w:hint="eastAsia" w:ascii="楷体_GB2312" w:hAnsi="楷体" w:eastAsia="楷体_GB2312" w:cs="楷体"/>
          <w:b/>
          <w:bCs/>
          <w:snapToGrid w:val="0"/>
          <w:kern w:val="0"/>
        </w:rPr>
        <w:t xml:space="preserve">   （三）总体目标。</w:t>
      </w:r>
      <w:r>
        <w:rPr>
          <w:rFonts w:hint="eastAsia" w:ascii="仿宋_GB2312" w:hAnsi="仿宋" w:eastAsia="仿宋_GB2312" w:cs="仿宋"/>
          <w:snapToGrid w:val="0"/>
          <w:kern w:val="0"/>
        </w:rPr>
        <w:t>到2025年，“八五”普法规划实施完成，法治观念深入人心，社会领域制度规范更加健全，社会主义核心价值观要求融入法治建设和社会治理成效显著，公民、法人和其他组织合法权益得到切实保障，社会治理法治化水平显著提高，全民法治素养进一步提升，为2035年度假区基本建成法治社会奠定坚实基础。</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黑体" w:hAnsi="黑体" w:eastAsia="黑体"/>
          <w:snapToGrid w:val="0"/>
          <w:kern w:val="0"/>
          <w:szCs w:val="32"/>
        </w:rPr>
      </w:pPr>
      <w:r>
        <w:rPr>
          <w:rFonts w:hint="eastAsia" w:ascii="黑体" w:hAnsi="黑体" w:eastAsia="黑体"/>
          <w:snapToGrid w:val="0"/>
          <w:kern w:val="0"/>
          <w:szCs w:val="32"/>
        </w:rPr>
        <w:t>二、推动全社会增强法治观念</w:t>
      </w:r>
    </w:p>
    <w:p>
      <w:pPr>
        <w:keepNext w:val="0"/>
        <w:keepLines w:val="0"/>
        <w:pageBreakBefore w:val="0"/>
        <w:kinsoku/>
        <w:wordWrap/>
        <w:overflowPunct/>
        <w:topLinePunct w:val="0"/>
        <w:autoSpaceDE/>
        <w:autoSpaceDN/>
        <w:bidi w:val="0"/>
        <w:adjustRightInd/>
        <w:snapToGrid/>
        <w:spacing w:line="560" w:lineRule="exact"/>
        <w:ind w:firstLine="297" w:firstLineChars="100"/>
        <w:textAlignment w:val="auto"/>
        <w:rPr>
          <w:rFonts w:ascii="黑体" w:hAnsi="黑体" w:eastAsia="黑体"/>
          <w:snapToGrid w:val="0"/>
          <w:kern w:val="0"/>
          <w:szCs w:val="32"/>
        </w:rPr>
      </w:pPr>
      <w:r>
        <w:rPr>
          <w:rFonts w:hint="eastAsia" w:ascii="楷体_GB2312" w:hAnsi="楷体" w:eastAsia="楷体_GB2312" w:cs="楷体"/>
          <w:b/>
          <w:bCs/>
          <w:snapToGrid w:val="0"/>
          <w:kern w:val="0"/>
          <w:szCs w:val="32"/>
        </w:rPr>
        <w:t xml:space="preserve"> （四）维护宪法权威</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1.深入宣传宪法，</w:t>
      </w:r>
      <w:r>
        <w:rPr>
          <w:rFonts w:hint="eastAsia" w:ascii="仿宋_GB2312" w:hAnsi="仿宋" w:eastAsia="仿宋_GB2312" w:cs="仿宋"/>
          <w:snapToGrid w:val="0"/>
          <w:kern w:val="0"/>
          <w:szCs w:val="32"/>
        </w:rPr>
        <w:t>把</w:t>
      </w:r>
      <w:r>
        <w:rPr>
          <w:rFonts w:hint="eastAsia" w:ascii="仿宋_GB2312" w:hAnsi="仿宋" w:eastAsia="仿宋_GB2312" w:cs="仿宋"/>
          <w:snapToGrid w:val="0"/>
          <w:kern w:val="0"/>
        </w:rPr>
        <w:t>学习宣传宪法作为“八五”普法的首要任务，纳入年度计划。</w:t>
      </w:r>
      <w:r>
        <w:rPr>
          <w:rFonts w:hint="eastAsia" w:ascii="仿宋_GB2312" w:hAnsi="仿宋" w:eastAsia="仿宋_GB2312" w:cs="仿宋"/>
          <w:snapToGrid w:val="0"/>
          <w:kern w:val="0"/>
          <w:szCs w:val="32"/>
        </w:rPr>
        <w:t>实现“12·4”国家宪法日和“宪法宣传周”集中宣传活动制度化、常态化，</w:t>
      </w:r>
      <w:r>
        <w:rPr>
          <w:rFonts w:hint="eastAsia" w:ascii="仿宋_GB2312" w:hAnsi="仿宋" w:eastAsia="仿宋_GB2312" w:cs="仿宋"/>
          <w:snapToGrid w:val="0"/>
          <w:kern w:val="0"/>
        </w:rPr>
        <w:t>推动宪法进机关、进学校、进企业、进社区、进乡村、进家庭、进宗教场所、进网络，进一步弘扬宪法精神，增强宪法意识，努力营造尊崇宪法、学习宪法、遵守宪法、维护宪法、运用宪法的社会氛围。</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2.</w:t>
      </w:r>
      <w:r>
        <w:rPr>
          <w:rFonts w:hint="eastAsia" w:ascii="仿宋_GB2312" w:hAnsi="仿宋" w:eastAsia="仿宋_GB2312" w:cs="仿宋"/>
          <w:snapToGrid w:val="0"/>
          <w:kern w:val="0"/>
          <w:szCs w:val="32"/>
        </w:rPr>
        <w:t>加强国家工作人员特别是各级领导干部的宪法教育，把宪法法律纳入各级党委理论学习中心组学习内容、纳入全区党员干部理论学习和法治教育安排。邀请法律专家举办宪法学习专题讲座，利用长春市干部网络学校平台，组织国家工作人员全面深入学习宪法</w:t>
      </w:r>
      <w:r>
        <w:rPr>
          <w:rFonts w:hint="eastAsia" w:ascii="仿宋_GB2312" w:hAnsi="仿宋" w:eastAsia="仿宋_GB2312" w:cs="仿宋"/>
          <w:szCs w:val="32"/>
        </w:rPr>
        <w:t>。</w:t>
      </w:r>
      <w:r>
        <w:rPr>
          <w:rFonts w:hint="eastAsia" w:ascii="仿宋_GB2312" w:hAnsi="仿宋" w:eastAsia="仿宋_GB2312" w:cs="仿宋"/>
          <w:snapToGrid w:val="0"/>
          <w:kern w:val="0"/>
          <w:szCs w:val="32"/>
        </w:rPr>
        <w:t>落实宪法宣誓制度，组织国家工作人员在就职时以及新录用公务员在初任培训中，依照法律规定进行宪法宣誓。</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3</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持续开展全区中小学生“学宪法讲宪法”活动，在国家宪法日组织中小学生开展“宪法晨读”和主题演讲活动。</w:t>
      </w:r>
    </w:p>
    <w:p>
      <w:pPr>
        <w:keepNext w:val="0"/>
        <w:keepLines w:val="0"/>
        <w:pageBreakBefore w:val="0"/>
        <w:kinsoku/>
        <w:wordWrap/>
        <w:overflowPunct/>
        <w:topLinePunct w:val="0"/>
        <w:autoSpaceDE/>
        <w:autoSpaceDN/>
        <w:bidi w:val="0"/>
        <w:adjustRightInd/>
        <w:snapToGrid/>
        <w:spacing w:line="560" w:lineRule="exact"/>
        <w:ind w:firstLine="446" w:firstLineChars="150"/>
        <w:textAlignment w:val="auto"/>
        <w:rPr>
          <w:rFonts w:ascii="楷体_GB2312" w:hAnsi="楷体" w:eastAsia="楷体_GB2312" w:cs="楷体"/>
          <w:b/>
          <w:bCs/>
          <w:snapToGrid w:val="0"/>
          <w:kern w:val="0"/>
          <w:szCs w:val="32"/>
        </w:rPr>
      </w:pPr>
      <w:r>
        <w:rPr>
          <w:rFonts w:hint="eastAsia" w:ascii="楷体_GB2312" w:hAnsi="楷体" w:eastAsia="楷体_GB2312" w:cs="楷体"/>
          <w:b/>
          <w:bCs/>
          <w:snapToGrid w:val="0"/>
          <w:kern w:val="0"/>
          <w:szCs w:val="32"/>
        </w:rPr>
        <w:t>（五）增强全民法治观念</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zCs w:val="32"/>
        </w:rPr>
        <w:t>4.</w:t>
      </w:r>
      <w:r>
        <w:rPr>
          <w:rFonts w:hint="eastAsia" w:ascii="仿宋_GB2312" w:hAnsi="仿宋" w:eastAsia="仿宋_GB2312" w:cs="仿宋"/>
          <w:snapToGrid w:val="0"/>
          <w:kern w:val="0"/>
          <w:szCs w:val="32"/>
        </w:rPr>
        <w:t>深入学习宣传习近平法治思想，深入宣传以宪法为核心的中国特色社会主义法律体系，广泛宣传与经济社会发展和人民群众利益密切相关的法律法规，持续提升公民法治素养。</w:t>
      </w:r>
    </w:p>
    <w:p>
      <w:pPr>
        <w:keepNext w:val="0"/>
        <w:keepLines w:val="0"/>
        <w:pageBreakBefore w:val="0"/>
        <w:kinsoku/>
        <w:wordWrap/>
        <w:overflowPunct/>
        <w:topLinePunct w:val="0"/>
        <w:autoSpaceDE/>
        <w:autoSpaceDN/>
        <w:bidi w:val="0"/>
        <w:adjustRightInd/>
        <w:snapToGrid/>
        <w:spacing w:line="560" w:lineRule="exact"/>
        <w:ind w:firstLine="594" w:firstLineChars="200"/>
        <w:jc w:val="left"/>
        <w:textAlignment w:val="auto"/>
        <w:rPr>
          <w:rFonts w:ascii="仿宋_GB2312" w:hAnsi="仿宋" w:eastAsia="仿宋_GB2312" w:cs="仿宋"/>
          <w:snapToGrid w:val="0"/>
          <w:kern w:val="0"/>
          <w:szCs w:val="32"/>
        </w:rPr>
      </w:pPr>
      <w:r>
        <w:rPr>
          <w:rFonts w:hint="eastAsia" w:ascii="仿宋_GB2312" w:hAnsi="仿宋" w:eastAsia="仿宋_GB2312" w:cs="仿宋"/>
          <w:bCs/>
          <w:szCs w:val="32"/>
        </w:rPr>
        <w:t>5</w:t>
      </w:r>
      <w:r>
        <w:rPr>
          <w:rFonts w:hint="eastAsia" w:ascii="仿宋_GB2312" w:hAnsi="仿宋" w:eastAsia="仿宋_GB2312" w:cs="仿宋"/>
          <w:b/>
          <w:bCs/>
          <w:szCs w:val="32"/>
        </w:rPr>
        <w:t>.</w:t>
      </w:r>
      <w:r>
        <w:rPr>
          <w:rFonts w:hint="eastAsia" w:ascii="仿宋_GB2312" w:hAnsi="仿宋" w:eastAsia="仿宋_GB2312" w:cs="仿宋"/>
          <w:szCs w:val="32"/>
        </w:rPr>
        <w:t>大力普及宣传民法典，</w:t>
      </w:r>
      <w:r>
        <w:rPr>
          <w:rFonts w:hint="eastAsia" w:ascii="仿宋" w:hAnsi="仿宋" w:eastAsia="仿宋" w:cs="仿宋"/>
          <w:szCs w:val="32"/>
        </w:rPr>
        <w:t>组织开展“美好生活·民法典相伴”主题宣传活动，</w:t>
      </w:r>
      <w:r>
        <w:rPr>
          <w:rFonts w:hint="eastAsia" w:ascii="仿宋_GB2312" w:hAnsi="仿宋" w:eastAsia="仿宋_GB2312" w:cs="仿宋"/>
          <w:szCs w:val="32"/>
        </w:rPr>
        <w:t>进一步创新</w:t>
      </w:r>
      <w:r>
        <w:rPr>
          <w:rFonts w:hint="eastAsia" w:ascii="仿宋_GB2312" w:hAnsi="仿宋" w:eastAsia="仿宋_GB2312" w:cs="仿宋"/>
          <w:snapToGrid w:val="0"/>
          <w:kern w:val="0"/>
          <w:szCs w:val="32"/>
        </w:rPr>
        <w:t>工作形式和内容，推动全社会严格执行民法典，引导全区群众学好用好民法典。</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6</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加强疫病防治、野生动物保护、公共卫生安全等方面法律法规和相关知识的宣传教育，做好《传染病防治法》《食品安全法》等法律法规的普及宣传，在“世界野生动植物日”“爱鸟周”等时间节点，组织开展野生动物保护主题宣传活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napToGrid w:val="0"/>
          <w:kern w:val="0"/>
          <w:szCs w:val="32"/>
        </w:rPr>
        <w:t>7</w:t>
      </w:r>
      <w:r>
        <w:rPr>
          <w:rFonts w:hint="eastAsia" w:ascii="仿宋_GB2312" w:hAnsi="仿宋" w:eastAsia="仿宋_GB2312" w:cs="仿宋"/>
          <w:bCs/>
          <w:snapToGrid w:val="0"/>
          <w:kern w:val="0"/>
          <w:szCs w:val="32"/>
        </w:rPr>
        <w:t>.</w:t>
      </w:r>
      <w:r>
        <w:rPr>
          <w:rFonts w:hint="eastAsia" w:ascii="仿宋_GB2312" w:hAnsi="仿宋" w:eastAsia="仿宋_GB2312" w:cs="仿宋"/>
          <w:snapToGrid w:val="0"/>
          <w:kern w:val="0"/>
          <w:szCs w:val="32"/>
        </w:rPr>
        <w:t>引导全社会尊重司法裁判，维护司法权威。在法律法规实施过程中，明确提倡什么、反对什么、禁止什么，加强裁判说理，厘清争点、亮明观点，推动社会主义核心价值观转化为社会公众的情感认同和行为习惯。</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napToGrid w:val="0"/>
          <w:kern w:val="0"/>
          <w:szCs w:val="32"/>
        </w:rPr>
        <w:t>8</w:t>
      </w:r>
      <w:r>
        <w:rPr>
          <w:rFonts w:hint="eastAsia" w:ascii="仿宋_GB2312" w:hAnsi="仿宋" w:eastAsia="仿宋_GB2312" w:cs="仿宋"/>
          <w:bCs/>
          <w:snapToGrid w:val="0"/>
          <w:kern w:val="0"/>
          <w:szCs w:val="32"/>
        </w:rPr>
        <w:t>.</w:t>
      </w:r>
      <w:r>
        <w:rPr>
          <w:rFonts w:hint="eastAsia" w:ascii="仿宋_GB2312" w:hAnsi="黑体" w:eastAsia="仿宋_GB2312" w:cs="仿宋"/>
          <w:snapToGrid w:val="0"/>
          <w:kern w:val="0"/>
          <w:szCs w:val="32"/>
        </w:rPr>
        <w:t>发挥领导干部带头尊法学法守法用法对全社会的示范</w:t>
      </w:r>
      <w:r>
        <w:rPr>
          <w:rFonts w:hint="eastAsia" w:ascii="仿宋_GB2312" w:hAnsi="仿宋" w:eastAsia="仿宋_GB2312" w:cs="仿宋"/>
          <w:snapToGrid w:val="0"/>
          <w:kern w:val="0"/>
          <w:szCs w:val="32"/>
        </w:rPr>
        <w:t>带动作用，完善落实党委理论学习中心组学法、国家工作人员学法用法和重大事项决策法律咨询、审核等制度，健全完善相关考核评估机制，增强国家工作人员特别是各级领导干部依法办事的意识和能力。</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napToGrid w:val="0"/>
          <w:kern w:val="0"/>
          <w:szCs w:val="32"/>
        </w:rPr>
        <w:t>9</w:t>
      </w:r>
      <w:r>
        <w:rPr>
          <w:rFonts w:hint="eastAsia" w:ascii="仿宋_GB2312" w:hAnsi="仿宋" w:eastAsia="仿宋_GB2312" w:cs="仿宋"/>
          <w:bCs/>
          <w:szCs w:val="32"/>
        </w:rPr>
        <w:t>.</w:t>
      </w:r>
      <w:r>
        <w:rPr>
          <w:rFonts w:hint="eastAsia" w:ascii="仿宋_GB2312" w:hAnsi="仿宋" w:eastAsia="仿宋_GB2312" w:cs="仿宋"/>
          <w:snapToGrid w:val="0"/>
          <w:kern w:val="0"/>
          <w:szCs w:val="32"/>
        </w:rPr>
        <w:t>加强青少年法治教育，全面落实《青少年法治教育大纲》，加强对教师的法治教育培训，配齐配强法治课教师、法治辅导员队伍，完善法治副校长制度，健全青少年参与法治实践机制。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zCs w:val="32"/>
        </w:rPr>
        <w:t>10</w:t>
      </w:r>
      <w:r>
        <w:rPr>
          <w:rFonts w:hint="eastAsia" w:ascii="仿宋_GB2312" w:hAnsi="仿宋" w:eastAsia="仿宋_GB2312" w:cs="仿宋"/>
          <w:bCs/>
          <w:snapToGrid w:val="0"/>
          <w:kern w:val="0"/>
          <w:szCs w:val="32"/>
        </w:rPr>
        <w:t>.</w:t>
      </w:r>
      <w:r>
        <w:rPr>
          <w:rFonts w:hint="eastAsia" w:ascii="仿宋_GB2312" w:hAnsi="仿宋" w:eastAsia="仿宋_GB2312" w:cs="仿宋"/>
          <w:snapToGrid w:val="0"/>
          <w:kern w:val="0"/>
          <w:szCs w:val="32"/>
          <w:shd w:val="clear" w:color="auto" w:fill="FFFFFF"/>
        </w:rPr>
        <w:t>引导企业树立合规意识，切实增强企业管理者和职工的法治观念。</w:t>
      </w:r>
      <w:r>
        <w:rPr>
          <w:rFonts w:hint="eastAsia" w:ascii="仿宋_GB2312" w:hAnsi="仿宋" w:eastAsia="仿宋_GB2312" w:cs="仿宋"/>
          <w:snapToGrid w:val="0"/>
          <w:kern w:val="0"/>
          <w:szCs w:val="32"/>
        </w:rPr>
        <w:t>面向企业加强外商投资法、中小企业促进法、公司法等相关法律法规的宣传教育，引导企业依法经营，诚信履约。</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zCs w:val="32"/>
        </w:rPr>
        <w:t>11</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运用新媒体新技术普法，借助“智慧普法”平台，充分利用我区媒体融合发展成果，通过短视频、H5、长图、动画等形式，分类分众精准制作内容生动、易于传播的新媒体普法产品。</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仿宋" w:eastAsia="楷体_GB2312" w:cs="仿宋"/>
          <w:szCs w:val="32"/>
        </w:rPr>
      </w:pPr>
      <w:r>
        <w:rPr>
          <w:rFonts w:hint="eastAsia" w:ascii="楷体_GB2312" w:hAnsi="楷体" w:eastAsia="楷体_GB2312" w:cs="楷体"/>
          <w:b/>
          <w:bCs/>
          <w:szCs w:val="32"/>
        </w:rPr>
        <w:t xml:space="preserve">   （六）健全普法责任制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12.</w:t>
      </w:r>
      <w:r>
        <w:rPr>
          <w:rFonts w:hint="eastAsia" w:ascii="仿宋_GB2312" w:hAnsi="仿宋" w:eastAsia="仿宋_GB2312" w:cs="仿宋"/>
          <w:snapToGrid w:val="0"/>
          <w:kern w:val="0"/>
          <w:szCs w:val="32"/>
        </w:rPr>
        <w:t>落实“谁执法谁普法”普法责任制，全区各级国家机关把普法纳入工作总体布局，制定本部门本单位普法规划和年度普法计划，完善普法责任制清单。坚持法治宣传教育与法治实践相结合，把案（事）件依法处理的过程变成普法公开课。</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zCs w:val="32"/>
        </w:rPr>
      </w:pPr>
      <w:r>
        <w:rPr>
          <w:rFonts w:hint="eastAsia" w:ascii="仿宋_GB2312" w:hAnsi="仿宋" w:eastAsia="仿宋_GB2312" w:cs="仿宋"/>
          <w:bCs/>
          <w:szCs w:val="32"/>
        </w:rPr>
        <w:t>13</w:t>
      </w:r>
      <w:r>
        <w:rPr>
          <w:rFonts w:hint="eastAsia" w:ascii="仿宋_GB2312" w:hAnsi="仿宋" w:eastAsia="仿宋_GB2312" w:cs="仿宋"/>
          <w:b/>
          <w:bCs/>
          <w:szCs w:val="32"/>
        </w:rPr>
        <w:t>.</w:t>
      </w:r>
      <w:r>
        <w:rPr>
          <w:rFonts w:hint="eastAsia" w:ascii="仿宋_GB2312" w:hAnsi="仿宋" w:eastAsia="仿宋_GB2312" w:cs="仿宋"/>
          <w:snapToGrid w:val="0"/>
          <w:kern w:val="0"/>
          <w:szCs w:val="32"/>
        </w:rPr>
        <w:t>完善行政复议人员、行政执法人员、公共法律服务人员等以案释法制度，加强对行政相对人、利害关系人等法律法规和政策宣讲。</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napToGrid w:val="0"/>
          <w:kern w:val="0"/>
          <w:szCs w:val="32"/>
        </w:rPr>
        <w:t>14.引导社会各方面广泛参与立法，加强对上级新出台地方性法规和政府规章的解读。</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15</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加强对社会热点案（事）件的法治解读评论，传播法治正能量。</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 w:hAnsi="仿宋" w:eastAsia="仿宋" w:cs="仿宋"/>
          <w:snapToGrid w:val="0"/>
          <w:kern w:val="0"/>
          <w:szCs w:val="32"/>
        </w:rPr>
      </w:pPr>
      <w:r>
        <w:rPr>
          <w:rFonts w:hint="eastAsia" w:ascii="仿宋" w:hAnsi="仿宋" w:eastAsia="仿宋" w:cs="仿宋"/>
          <w:szCs w:val="32"/>
        </w:rPr>
        <w:t>16</w:t>
      </w:r>
      <w:r>
        <w:rPr>
          <w:rFonts w:hint="eastAsia" w:ascii="仿宋" w:hAnsi="仿宋" w:eastAsia="仿宋" w:cs="仿宋"/>
          <w:bCs/>
          <w:snapToGrid w:val="0"/>
          <w:kern w:val="0"/>
          <w:szCs w:val="32"/>
        </w:rPr>
        <w:t>.</w:t>
      </w:r>
      <w:r>
        <w:rPr>
          <w:rFonts w:hint="eastAsia" w:ascii="仿宋" w:hAnsi="仿宋" w:eastAsia="仿宋" w:cs="仿宋"/>
          <w:snapToGrid w:val="0"/>
          <w:kern w:val="0"/>
          <w:szCs w:val="32"/>
        </w:rPr>
        <w:t>组织法律服务队伍为人民群众提供专业、精准、高效的法治宣传。注重发挥群团组织、行业协会、非公组织在全民普法中的重要作用，鼓励引导社会力量参与普法。加强普法志愿者协会建设，进一步健全机构组织和运行机制，不断培育壮大普法志愿者队伍，推动普法志愿服务常态化、制度化。</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 w:hAnsi="仿宋" w:eastAsia="仿宋" w:cs="仿宋"/>
          <w:snapToGrid w:val="0"/>
          <w:kern w:val="0"/>
          <w:szCs w:val="32"/>
        </w:rPr>
      </w:pPr>
      <w:r>
        <w:rPr>
          <w:rFonts w:hint="eastAsia" w:ascii="仿宋" w:hAnsi="仿宋" w:eastAsia="仿宋" w:cs="仿宋"/>
          <w:szCs w:val="32"/>
        </w:rPr>
        <w:t>17.</w:t>
      </w:r>
      <w:r>
        <w:rPr>
          <w:rFonts w:hint="eastAsia" w:ascii="仿宋" w:hAnsi="仿宋" w:eastAsia="仿宋" w:cs="仿宋"/>
          <w:snapToGrid w:val="0"/>
          <w:kern w:val="0"/>
          <w:szCs w:val="32"/>
        </w:rPr>
        <w:t>健全媒体公益普法制度，借助报社、电台、电视台、网站、融媒体中心等媒体自觉履行普法职责，开展日常公益普法宣传教育。</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黑体" w:eastAsia="楷体_GB2312"/>
          <w:szCs w:val="32"/>
        </w:rPr>
      </w:pPr>
      <w:r>
        <w:rPr>
          <w:rFonts w:hint="eastAsia" w:ascii="楷体_GB2312" w:hAnsi="楷体" w:eastAsia="楷体_GB2312" w:cs="楷体"/>
          <w:b/>
          <w:bCs/>
          <w:szCs w:val="32"/>
        </w:rPr>
        <w:t xml:space="preserve">   （七）建设社会主义法治文化</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18</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丰富法治文化产品，培育法治文化精品，扩大法治文化的覆盖面和影响力。利用重大纪念日、传统节日、文化节日等契机开展群众性法治文化活动，组织普法志愿者、群众法治文艺团体开展法治文化进村屯活动，推动法治文化深入人心。</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19.</w:t>
      </w:r>
      <w:r>
        <w:rPr>
          <w:rFonts w:hint="eastAsia" w:ascii="仿宋_GB2312" w:hAnsi="仿宋" w:eastAsia="仿宋_GB2312" w:cs="仿宋"/>
          <w:snapToGrid w:val="0"/>
          <w:kern w:val="0"/>
          <w:szCs w:val="32"/>
        </w:rPr>
        <w:t>大力加强法治文化阵地建设，有效促进法治文化与传统文化、红色文化、地方文化、行业文化、企业文化融合发展。</w:t>
      </w:r>
      <w:r>
        <w:rPr>
          <w:rFonts w:hint="eastAsia" w:ascii="仿宋_GB2312" w:hAnsi="仿宋" w:eastAsia="仿宋_GB2312" w:cs="仿宋_GB2312"/>
          <w:snapToGrid w:val="0"/>
          <w:kern w:val="0"/>
          <w:szCs w:val="32"/>
        </w:rPr>
        <w:t>坚持“一乡（镇）一品牌”，分门别类打造法治公园、法治广场、法治长廊等法治文化阵地。</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黑体" w:hAnsi="黑体" w:eastAsia="黑体"/>
          <w:szCs w:val="32"/>
        </w:rPr>
      </w:pPr>
      <w:r>
        <w:rPr>
          <w:rFonts w:hint="eastAsia" w:ascii="黑体" w:hAnsi="黑体" w:eastAsia="黑体"/>
          <w:szCs w:val="32"/>
        </w:rPr>
        <w:t>三、健全社会领域制度规范</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 w:eastAsia="楷体_GB2312" w:cs="楷体"/>
          <w:b/>
          <w:bCs/>
          <w:szCs w:val="32"/>
        </w:rPr>
      </w:pPr>
      <w:r>
        <w:rPr>
          <w:rFonts w:hint="eastAsia" w:ascii="楷体_GB2312" w:hAnsi="楷体" w:eastAsia="楷体_GB2312" w:cs="楷体"/>
          <w:b/>
          <w:bCs/>
          <w:szCs w:val="32"/>
        </w:rPr>
        <w:t xml:space="preserve">   （八）完善社会重要领域制度</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20</w:t>
      </w:r>
      <w:r>
        <w:rPr>
          <w:rFonts w:hint="eastAsia" w:ascii="仿宋_GB2312" w:hAnsi="仿宋" w:eastAsia="仿宋_GB2312" w:cs="仿宋"/>
          <w:snapToGrid w:val="0"/>
          <w:kern w:val="0"/>
          <w:szCs w:val="32"/>
        </w:rPr>
        <w:t>.完善教育、劳动就业、收入分配、社会保障、医疗卫生、食品药品、安全生产、道路交通、扶贫、慈善、社会救助、河湖管理等领域和退役军人、妇女、未成年人、老年人、残疾人正当权益保护等方面的政策措施，不断保障和改善民生。完善疫情防控以及社会组织、乡村社区、社会工作等方面的制度，进一步加强和创新社会治理。</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napToGrid w:val="0"/>
          <w:kern w:val="0"/>
          <w:szCs w:val="32"/>
        </w:rPr>
        <w:t>21.把弘扬社会主义核心价值观要求融入法治建设和社会治理，加强见义勇为、敬业奉献、尊崇英烈、志愿服务、孝老爱亲、文明诚信等方面的制度建设。</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黑体" w:eastAsia="楷体_GB2312"/>
          <w:szCs w:val="32"/>
        </w:rPr>
      </w:pPr>
      <w:r>
        <w:rPr>
          <w:rFonts w:hint="eastAsia" w:ascii="楷体_GB2312" w:hAnsi="楷体" w:eastAsia="楷体_GB2312" w:cs="楷体"/>
          <w:b/>
          <w:bCs/>
          <w:szCs w:val="32"/>
        </w:rPr>
        <w:t xml:space="preserve">  （九）促进社会规范建设    </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22</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加强居民公约、村规民约、行业规章、社会组织章程等社会规范建设，推动社会成员自我约束、自我管理、自我规范。按照国家有关要求，结合村“两委”换届和乡村振兴工作，指导督促各乡镇修订完善居民公约、村规民约。依法做好社会组织章程审查核准工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s="仿宋"/>
          <w:szCs w:val="32"/>
        </w:rPr>
      </w:pPr>
      <w:r>
        <w:rPr>
          <w:rFonts w:hint="eastAsia" w:ascii="楷体_GB2312" w:hAnsi="楷体" w:eastAsia="楷体_GB2312" w:cs="楷体"/>
          <w:b/>
          <w:bCs/>
          <w:szCs w:val="32"/>
        </w:rPr>
        <w:t xml:space="preserve">  （十）加强道德规范建设</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23</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推进社会公德、职业道德建设，深入开展家庭美德和个人品德教育，增强法治的道德底蕴。深入开展道德领域突出问题专项教育和治理，依法惩处公德失范的违法行为。落实《新时代公民道德建设实施纲要》和《吉林省新时代公民道德建设行动方案》、</w:t>
      </w:r>
      <w:r>
        <w:rPr>
          <w:rFonts w:hint="eastAsia" w:ascii="仿宋_GB2312" w:hAnsi="仿宋" w:eastAsia="仿宋_GB2312" w:cs="仿宋"/>
          <w:snapToGrid w:val="0"/>
          <w:kern w:val="0"/>
          <w:szCs w:val="32"/>
          <w:shd w:val="clear" w:color="auto" w:fill="FFFFFF"/>
        </w:rPr>
        <w:t>《长春市文明行为促进条例》</w:t>
      </w:r>
      <w:r>
        <w:rPr>
          <w:rFonts w:hint="eastAsia" w:ascii="仿宋_GB2312" w:hAnsi="仿宋" w:eastAsia="仿宋_GB2312" w:cs="仿宋"/>
          <w:snapToGrid w:val="0"/>
          <w:kern w:val="0"/>
          <w:szCs w:val="32"/>
        </w:rPr>
        <w:t>，全面提升公民道德素质和社会文明程度。倡导科学文明的生活方式，革除滥食野生动物陋习，增强公民公共卫生安全和疫病防治意识。</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24</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强化道德规范的教育、评价、监督等功能，努力形成良好的社会风尚和社会秩序。开展“道德模范”、“文明家庭”等评选活动，治理“野广告”、随手捡垃圾等文明实践活动，打造莲花山文明品牌。</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楷体_GB2312" w:hAnsi="楷体" w:eastAsia="楷体_GB2312" w:cs="楷体"/>
          <w:szCs w:val="32"/>
        </w:rPr>
      </w:pPr>
      <w:r>
        <w:rPr>
          <w:rFonts w:hint="eastAsia" w:ascii="楷体_GB2312" w:hAnsi="楷体" w:eastAsia="楷体_GB2312" w:cs="楷体"/>
          <w:b/>
          <w:bCs/>
          <w:szCs w:val="32"/>
        </w:rPr>
        <w:t>（十一）推进社会诚信建设</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25</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完善企业社会责任法律制度，增强企业社会责任意识，促进企业诚实守信、合法经营。</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黑体" w:eastAsia="仿宋_GB2312"/>
          <w:snapToGrid w:val="0"/>
          <w:kern w:val="0"/>
          <w:szCs w:val="32"/>
        </w:rPr>
      </w:pPr>
      <w:r>
        <w:rPr>
          <w:rFonts w:hint="eastAsia" w:ascii="仿宋_GB2312" w:hAnsi="仿宋" w:eastAsia="仿宋_GB2312" w:cs="仿宋"/>
          <w:bCs/>
          <w:snapToGrid w:val="0"/>
          <w:kern w:val="0"/>
          <w:szCs w:val="32"/>
        </w:rPr>
        <w:t>26.</w:t>
      </w:r>
      <w:r>
        <w:rPr>
          <w:rFonts w:hint="eastAsia" w:ascii="仿宋_GB2312" w:hAnsi="仿宋" w:eastAsia="仿宋_GB2312" w:cs="仿宋"/>
          <w:snapToGrid w:val="0"/>
          <w:kern w:val="0"/>
          <w:szCs w:val="32"/>
        </w:rPr>
        <w:t>健全公民和组织守法信用记录，建立以公民身份证号码和组织机构代码为基础的统一社会信用代码制度。完善诚信建设长效机制，健全覆盖全社会的征信体系，建立失信惩戒制度。建立信用修复机制和异议申诉制度，鼓励和引导失信主体主动纠正违法失信行为。加强行业协会商会诚信建设，</w:t>
      </w:r>
      <w:r>
        <w:rPr>
          <w:rFonts w:hint="eastAsia" w:ascii="仿宋_GB2312" w:hAnsi="仿宋" w:eastAsia="仿宋_GB2312" w:cs="仿宋"/>
          <w:snapToGrid w:val="0"/>
          <w:kern w:val="0"/>
          <w:szCs w:val="32"/>
          <w:shd w:val="clear" w:color="auto" w:fill="FFFFFF"/>
        </w:rPr>
        <w:t>完善诚信管理和诚信自律机制</w:t>
      </w:r>
      <w:r>
        <w:rPr>
          <w:rFonts w:hint="eastAsia" w:ascii="仿宋_GB2312" w:hAnsi="宋体" w:eastAsia="仿宋_GB2312" w:cs="宋体"/>
          <w:snapToGrid w:val="0"/>
          <w:kern w:val="0"/>
          <w:sz w:val="24"/>
          <w:szCs w:val="24"/>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27</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完善莲花山度假区信用信息共享平台和企业信用信息公示系统，进一步强化和规范信用信息归集共享，</w:t>
      </w:r>
      <w:r>
        <w:rPr>
          <w:rFonts w:hint="eastAsia" w:ascii="仿宋_GB2312" w:hAnsi="仿宋" w:eastAsia="仿宋_GB2312"/>
          <w:snapToGrid w:val="0"/>
          <w:kern w:val="0"/>
          <w:szCs w:val="32"/>
        </w:rPr>
        <w:t>依法依规在信用网站公开。</w:t>
      </w:r>
      <w:r>
        <w:rPr>
          <w:rFonts w:hint="eastAsia" w:ascii="仿宋_GB2312" w:hAnsi="仿宋" w:eastAsia="仿宋_GB2312" w:cs="仿宋"/>
          <w:snapToGrid w:val="0"/>
          <w:kern w:val="0"/>
          <w:szCs w:val="32"/>
        </w:rPr>
        <w:t>加强诚信理念宣传教育，组织诚信主题实践活动，为社会信用体系建设创造良好环境。依托金融机构开展形式多样的宣传教育活动，逐步提升社会公众的诚信意识。</w:t>
      </w:r>
    </w:p>
    <w:p>
      <w:pPr>
        <w:keepNext w:val="0"/>
        <w:keepLines w:val="0"/>
        <w:pageBreakBefore w:val="0"/>
        <w:tabs>
          <w:tab w:val="left" w:pos="3564"/>
        </w:tabs>
        <w:kinsoku/>
        <w:wordWrap/>
        <w:overflowPunct/>
        <w:topLinePunct w:val="0"/>
        <w:autoSpaceDE/>
        <w:autoSpaceDN/>
        <w:bidi w:val="0"/>
        <w:adjustRightInd/>
        <w:snapToGrid/>
        <w:spacing w:line="560" w:lineRule="exact"/>
        <w:ind w:firstLine="594" w:firstLineChars="200"/>
        <w:textAlignment w:val="auto"/>
        <w:rPr>
          <w:rFonts w:ascii="黑体" w:hAnsi="黑体" w:eastAsia="黑体"/>
          <w:szCs w:val="32"/>
        </w:rPr>
      </w:pPr>
      <w:r>
        <w:rPr>
          <w:rFonts w:hint="eastAsia" w:ascii="黑体" w:hAnsi="黑体" w:eastAsia="黑体"/>
          <w:szCs w:val="32"/>
        </w:rPr>
        <w:t>四、加强权利保护</w:t>
      </w:r>
      <w:r>
        <w:rPr>
          <w:rFonts w:ascii="黑体" w:hAnsi="黑体" w:eastAsia="黑体"/>
          <w:szCs w:val="32"/>
        </w:rPr>
        <w:tab/>
      </w:r>
    </w:p>
    <w:p>
      <w:pPr>
        <w:keepNext w:val="0"/>
        <w:keepLines w:val="0"/>
        <w:pageBreakBefore w:val="0"/>
        <w:tabs>
          <w:tab w:val="left" w:pos="3564"/>
        </w:tabs>
        <w:kinsoku/>
        <w:wordWrap/>
        <w:overflowPunct/>
        <w:topLinePunct w:val="0"/>
        <w:autoSpaceDE/>
        <w:autoSpaceDN/>
        <w:bidi w:val="0"/>
        <w:adjustRightInd/>
        <w:snapToGrid/>
        <w:spacing w:line="560" w:lineRule="exact"/>
        <w:ind w:firstLine="594" w:firstLineChars="200"/>
        <w:textAlignment w:val="auto"/>
        <w:rPr>
          <w:rFonts w:ascii="黑体" w:hAnsi="黑体" w:eastAsia="黑体"/>
          <w:szCs w:val="32"/>
        </w:rPr>
      </w:pPr>
      <w:r>
        <w:rPr>
          <w:rFonts w:hint="eastAsia" w:ascii="楷体_GB2312" w:hAnsi="楷体" w:eastAsia="楷体_GB2312" w:cs="楷体"/>
          <w:b/>
          <w:bCs/>
          <w:szCs w:val="32"/>
        </w:rPr>
        <w:t>（十二）健全公众参与重大公共决策机制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28.</w:t>
      </w:r>
      <w:r>
        <w:rPr>
          <w:rFonts w:hint="eastAsia" w:ascii="仿宋_GB2312" w:hAnsi="仿宋" w:eastAsia="仿宋_GB2312" w:cs="仿宋"/>
          <w:snapToGrid w:val="0"/>
          <w:kern w:val="0"/>
          <w:szCs w:val="32"/>
        </w:rPr>
        <w:t>落实法律顾问、公职律师在重大公共决策中发挥积极作用的制度机制。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29</w:t>
      </w:r>
      <w:r>
        <w:rPr>
          <w:rFonts w:hint="eastAsia" w:ascii="仿宋_GB2312" w:hAnsi="仿宋" w:eastAsia="仿宋_GB2312" w:cs="仿宋"/>
          <w:snapToGrid w:val="0"/>
          <w:kern w:val="0"/>
          <w:szCs w:val="32"/>
        </w:rPr>
        <w:t>.健全企业、职工、行业协会商会等参与涉企法规及政策制定机制，依法平等保护企业、职工合法权益。</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楷体_GB2312" w:hAnsi="仿宋" w:eastAsia="楷体_GB2312" w:cs="仿宋"/>
          <w:szCs w:val="32"/>
        </w:rPr>
      </w:pPr>
      <w:r>
        <w:rPr>
          <w:rFonts w:hint="eastAsia" w:ascii="楷体_GB2312" w:hAnsi="楷体" w:eastAsia="楷体_GB2312" w:cs="楷体"/>
          <w:b/>
          <w:bCs/>
          <w:snapToGrid w:val="0"/>
          <w:kern w:val="0"/>
          <w:szCs w:val="32"/>
        </w:rPr>
        <w:t>（十三）保障行政执法中当事人合法权益</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bCs/>
          <w:snapToGrid w:val="0"/>
          <w:kern w:val="0"/>
          <w:szCs w:val="32"/>
        </w:rPr>
      </w:pPr>
      <w:r>
        <w:rPr>
          <w:rFonts w:hint="eastAsia" w:ascii="仿宋_GB2312" w:hAnsi="仿宋" w:eastAsia="仿宋_GB2312" w:cs="仿宋"/>
          <w:bCs/>
          <w:snapToGrid w:val="0"/>
          <w:kern w:val="0"/>
          <w:szCs w:val="32"/>
        </w:rPr>
        <w:t>30.规范执法行为，全面落实行政执法公示制度、执法全过程记录制度、重大执法决定法制审核制度，完善执法程序，改进执法方式，尊重和维护群众合法权益。</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napToGrid w:val="0"/>
          <w:kern w:val="0"/>
          <w:szCs w:val="32"/>
        </w:rPr>
        <w:t>31.建立健全产权保护统筹协调工作机制，持续加强政务诚信和营商环境建设，将产权保护列为专项治理、信用示范、区域创建、营商环境建设的重要内容。完善知识产权维权援助工作机制，推动维权援助服务进重点产业园区、进企业创新基地等。</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32.</w:t>
      </w:r>
      <w:r>
        <w:rPr>
          <w:rFonts w:hint="eastAsia" w:ascii="仿宋_GB2312" w:hAnsi="仿宋" w:eastAsia="仿宋_GB2312" w:cs="仿宋"/>
          <w:snapToGrid w:val="0"/>
          <w:kern w:val="0"/>
          <w:szCs w:val="32"/>
        </w:rPr>
        <w:t>推进政府信息公开，涉及公民、法人或其他组织权利和义务的行政规范性文件、行政许可决定、行政处罚决定、行政强制决定、行政征收决定等，依法予以公开。</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s="仿宋"/>
          <w:szCs w:val="32"/>
        </w:rPr>
      </w:pPr>
      <w:r>
        <w:rPr>
          <w:rFonts w:hint="eastAsia" w:ascii="楷体_GB2312" w:hAnsi="楷体" w:eastAsia="楷体_GB2312" w:cs="楷体"/>
          <w:b/>
          <w:bCs/>
          <w:snapToGrid w:val="0"/>
          <w:kern w:val="0"/>
          <w:szCs w:val="32"/>
        </w:rPr>
        <w:t xml:space="preserve">   （十四）加强人权司法保障</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33.</w:t>
      </w:r>
      <w:r>
        <w:rPr>
          <w:rFonts w:hint="eastAsia" w:ascii="仿宋_GB2312" w:hAnsi="仿宋" w:eastAsia="仿宋_GB2312" w:cs="仿宋"/>
          <w:snapToGrid w:val="0"/>
          <w:kern w:val="0"/>
          <w:szCs w:val="32"/>
        </w:rPr>
        <w:t>加强对公民合法权益的司法保护。加大涉民生案件查办力度，保障人民群众合法权益。健全执行工作长效机制，依法保障胜诉当事人及时实现合法权益。妥善审理好住房、教育、医疗等重点领域民生案件，进一步完善民生司法保护机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34</w:t>
      </w:r>
      <w:r>
        <w:rPr>
          <w:rFonts w:hint="eastAsia" w:ascii="仿宋_GB2312" w:hAnsi="仿宋" w:eastAsia="仿宋_GB2312" w:cs="仿宋"/>
          <w:b/>
          <w:bCs/>
          <w:snapToGrid w:val="0"/>
          <w:kern w:val="0"/>
          <w:szCs w:val="32"/>
        </w:rPr>
        <w:t>.</w:t>
      </w:r>
      <w:r>
        <w:rPr>
          <w:rFonts w:hint="eastAsia" w:ascii="仿宋_GB2312" w:hAnsi="仿宋" w:eastAsia="仿宋_GB2312" w:cs="仿宋"/>
          <w:szCs w:val="32"/>
        </w:rPr>
        <w:t>强化诉讼参与人诉讼权利制度保障，</w:t>
      </w:r>
      <w:r>
        <w:rPr>
          <w:rFonts w:hint="eastAsia" w:ascii="仿宋_GB2312" w:hAnsi="仿宋" w:eastAsia="仿宋_GB2312" w:cs="仿宋"/>
          <w:snapToGrid w:val="0"/>
          <w:kern w:val="0"/>
          <w:szCs w:val="32"/>
        </w:rPr>
        <w:t>加强对非法取证行为的源头预防，严格执行非法证据排除规则，建立健全案件纠错机制，有效防范和纠正冤假错案。</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zCs w:val="32"/>
        </w:rPr>
      </w:pPr>
      <w:r>
        <w:rPr>
          <w:rFonts w:hint="eastAsia" w:ascii="仿宋_GB2312" w:hAnsi="仿宋" w:eastAsia="仿宋_GB2312" w:cs="仿宋"/>
          <w:szCs w:val="32"/>
        </w:rPr>
        <w:t>35.加强检察机关对民事、行政、刑事诉讼活动的法律监督，在司法调解、司法听证等司法活动中保障人民群众参与。积极拓宽案件线索来源渠道，规范监督程序。坚持对事监督与对人监督相结合，促进监督事项向更深层次延伸。</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36.</w:t>
      </w:r>
      <w:r>
        <w:rPr>
          <w:rFonts w:hint="eastAsia" w:ascii="仿宋_GB2312" w:hAnsi="仿宋" w:eastAsia="仿宋_GB2312" w:cs="仿宋"/>
          <w:snapToGrid w:val="0"/>
          <w:kern w:val="0"/>
          <w:szCs w:val="32"/>
        </w:rPr>
        <w:t>畅通公民权利救济渠道，加强法律援助，保障困难群体、特殊群众的合法权益。探索引入社会资金开展司法救助，让人民群众更充分感受到司法公正。</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黑体" w:eastAsia="仿宋_GB2312"/>
          <w:szCs w:val="32"/>
        </w:rPr>
      </w:pPr>
      <w:r>
        <w:rPr>
          <w:rFonts w:hint="eastAsia" w:ascii="楷体_GB2312" w:hAnsi="楷体" w:eastAsia="楷体_GB2312" w:cs="楷体"/>
          <w:b/>
          <w:bCs/>
          <w:snapToGrid w:val="0"/>
          <w:kern w:val="0"/>
          <w:szCs w:val="32"/>
        </w:rPr>
        <w:t xml:space="preserve">   （十五）为群众提供便捷高效的公共法律服务</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黑体" w:eastAsia="仿宋_GB2312"/>
          <w:szCs w:val="32"/>
        </w:rPr>
      </w:pPr>
      <w:r>
        <w:rPr>
          <w:rFonts w:hint="eastAsia" w:ascii="仿宋_GB2312" w:hAnsi="仿宋" w:eastAsia="仿宋_GB2312" w:cs="仿宋"/>
          <w:bCs/>
          <w:snapToGrid w:val="0"/>
          <w:kern w:val="0"/>
          <w:szCs w:val="32"/>
        </w:rPr>
        <w:t>37.</w:t>
      </w:r>
      <w:r>
        <w:rPr>
          <w:rFonts w:hint="eastAsia" w:ascii="仿宋_GB2312" w:hAnsi="仿宋" w:eastAsia="仿宋_GB2312" w:cs="仿宋"/>
          <w:snapToGrid w:val="0"/>
          <w:kern w:val="0"/>
          <w:szCs w:val="32"/>
        </w:rPr>
        <w:t>完善公共法律服务管理体制和工作机制，推进公共法律服务标准化、规范化、精准化，有效满足人民群众日益增长的高品质、多元化法律服务需求。</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38</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健全村（居）法律顾问制度，充分发挥村（居）法律顾问作用。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39.</w:t>
      </w:r>
      <w:r>
        <w:rPr>
          <w:rFonts w:hint="eastAsia" w:ascii="仿宋_GB2312" w:hAnsi="仿宋" w:eastAsia="仿宋_GB2312" w:cs="仿宋"/>
          <w:snapToGrid w:val="0"/>
          <w:kern w:val="0"/>
          <w:szCs w:val="32"/>
        </w:rPr>
        <w:t>加强公共法律服务实体、热线、网络三大平台建设，推动公共法律服务与科技创新手段深度融合，尽快建成覆盖全业务、全时空的公共法律服务网络。</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 w:eastAsia="仿宋_GB2312" w:cs="仿宋"/>
          <w:szCs w:val="32"/>
        </w:rPr>
      </w:pPr>
      <w:r>
        <w:rPr>
          <w:rFonts w:hint="eastAsia" w:ascii="楷体_GB2312" w:hAnsi="楷体" w:eastAsia="楷体_GB2312" w:cs="楷体"/>
          <w:b/>
          <w:bCs/>
          <w:szCs w:val="32"/>
        </w:rPr>
        <w:t xml:space="preserve">   （十六）引导社会主体履行法定义务承担社会责任</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40</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引导公民依法行使权利，理性表达诉求，自觉履行法定义务、社会责任和家庭责任。</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41</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强化政策引领，为企业更好履行社会责任营造良好环境，推动企业与社会建立良好的互助互信关系。</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42</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加强社会组织诚信自律建设，支持社会组织建立社会责任标准体系，完善政府购买社会组织服务机制，引导社会资源向积极履行社会责任的社会组织倾斜。</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黑体" w:hAnsi="黑体" w:eastAsia="黑体" w:cs="仿宋"/>
          <w:szCs w:val="32"/>
        </w:rPr>
      </w:pPr>
      <w:r>
        <w:rPr>
          <w:rFonts w:hint="eastAsia" w:ascii="黑体" w:hAnsi="黑体" w:eastAsia="黑体"/>
          <w:szCs w:val="32"/>
        </w:rPr>
        <w:t>五、推进社会治理法治化</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cs="仿宋"/>
          <w:szCs w:val="32"/>
        </w:rPr>
      </w:pPr>
      <w:r>
        <w:rPr>
          <w:rFonts w:hint="eastAsia" w:ascii="楷体_GB2312" w:hAnsi="楷体" w:eastAsia="楷体_GB2312" w:cs="楷体"/>
          <w:b/>
          <w:bCs/>
          <w:snapToGrid w:val="0"/>
          <w:kern w:val="0"/>
          <w:szCs w:val="32"/>
        </w:rPr>
        <w:t xml:space="preserve">   （十七）完善社会治理体制机制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shd w:val="clear" w:color="auto" w:fill="FFFFFF"/>
        </w:rPr>
      </w:pPr>
      <w:r>
        <w:rPr>
          <w:rFonts w:hint="eastAsia" w:ascii="仿宋_GB2312" w:hAnsi="仿宋" w:eastAsia="仿宋_GB2312" w:cs="仿宋"/>
          <w:bCs/>
          <w:snapToGrid w:val="0"/>
          <w:kern w:val="0"/>
          <w:szCs w:val="32"/>
        </w:rPr>
        <w:t>43</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shd w:val="clear" w:color="auto" w:fill="FFFFFF"/>
        </w:rPr>
        <w:t>完善党委领导、政府负责、民主协商、社会协同、公众参与、法治保障、科技支撑的社会治理体系，打造共建共治共享的社会治理格局。健全党委总揽全局、协调各方领导机制，完善政府社会治理考核问责机制，建设人人有责、人人尽责、人人享有的社会治理共同体。加强社会治理制度建设，推进社会治理制度化、规范化、程序化。</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 w:eastAsia="楷体_GB2312" w:cs="楷体"/>
          <w:b/>
          <w:bCs/>
          <w:szCs w:val="32"/>
        </w:rPr>
      </w:pPr>
      <w:r>
        <w:rPr>
          <w:rFonts w:hint="eastAsia" w:ascii="楷体_GB2312" w:hAnsi="楷体" w:eastAsia="楷体_GB2312" w:cs="楷体"/>
          <w:b/>
          <w:bCs/>
          <w:szCs w:val="32"/>
        </w:rPr>
        <w:t xml:space="preserve">   （十八）推进多层次多领域依法治理</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shd w:val="clear" w:color="auto" w:fill="FFFFFF"/>
        </w:rPr>
      </w:pPr>
      <w:r>
        <w:rPr>
          <w:rFonts w:hint="eastAsia" w:ascii="仿宋_GB2312" w:hAnsi="仿宋" w:eastAsia="仿宋_GB2312" w:cs="仿宋"/>
          <w:bCs/>
          <w:snapToGrid w:val="0"/>
          <w:kern w:val="0"/>
          <w:szCs w:val="32"/>
        </w:rPr>
        <w:t>44</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shd w:val="clear" w:color="auto" w:fill="FFFFFF"/>
        </w:rPr>
        <w:t>推进市域治理创新，依法加快实名登记、社会信用管理、产权保护等配套制度建设，开展市域社会治理现代化试点，使法治成为市域经济社会发展的核心竞争力。</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45</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度假区职能部门、乡镇政府按照减负赋能原则，制定和落实在社区治理方面的权责清单。</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46</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健全村级议事协商制度，鼓励村屯开展村民说事、民情恳谈等活动。实施村级事务阳光工程，完善党务、村务、财务“三公开”制度，梳理村级事务公开清单，推广村级事务“阳光公开”监管平台。推动村级重要事项、重大问题由村党组织研究讨论，巩固和加强村党组织领导核心地位，提升村党组织领导乡村治理能力。</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47</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 xml:space="preserve">全面加强法治乡村建设，规范涉农行政执法司法行为，严厉打击涉农违法犯罪活动，强化乡村司法保障。推进乡村依法治理，深化法治乡村示范创建活动，深化村（社区）法律顾问制度，实施农村“法律明白人”培养工程，推进乡村法治文化阵地建设。 </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48</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全面推进基层单位依法治理，企业、学校等基层单位建立运用法治方式解决问题的平台和机制。广泛开展行业依法治理，推进业务标准程序完善、合法合规审查到位、防范化解风险及时和法律监督有效的法治化治理方式。加强基层群众性自治组织规范化建设。</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49</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依法妥善处置涉及民族、宗教等因素的社会问题，促进民族关系、宗教关系和谐。健全完善民族宗教工作机制，依法治理民族宗教事务，加强民族团结进步创建工作。建立民族宗教网络舆情协调处置机制，完善涉民族宗教因素引发网络舆情的工作预案。</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楷体_GB2312" w:hAnsi="黑体" w:eastAsia="楷体_GB2312"/>
          <w:szCs w:val="32"/>
        </w:rPr>
      </w:pPr>
      <w:r>
        <w:rPr>
          <w:rFonts w:hint="eastAsia" w:ascii="楷体_GB2312" w:hAnsi="楷体" w:eastAsia="楷体_GB2312" w:cs="楷体"/>
          <w:b/>
          <w:bCs/>
          <w:snapToGrid w:val="0"/>
          <w:kern w:val="0"/>
          <w:szCs w:val="32"/>
        </w:rPr>
        <w:t>（十九）发挥人民团体和社会组织在法治社会建设中的作用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shd w:val="clear" w:color="auto" w:fill="FFFFFF"/>
        </w:rPr>
      </w:pPr>
      <w:r>
        <w:rPr>
          <w:rFonts w:hint="eastAsia" w:ascii="仿宋_GB2312" w:hAnsi="仿宋" w:eastAsia="仿宋_GB2312" w:cs="仿宋"/>
          <w:bCs/>
          <w:snapToGrid w:val="0"/>
          <w:kern w:val="0"/>
          <w:szCs w:val="32"/>
          <w:shd w:val="clear" w:color="auto" w:fill="FFFFFF"/>
        </w:rPr>
        <w:t>50</w:t>
      </w:r>
      <w:r>
        <w:rPr>
          <w:rFonts w:hint="eastAsia" w:ascii="仿宋_GB2312" w:hAnsi="仿宋" w:eastAsia="仿宋_GB2312" w:cs="仿宋"/>
          <w:b/>
          <w:bCs/>
          <w:snapToGrid w:val="0"/>
          <w:kern w:val="0"/>
          <w:szCs w:val="32"/>
          <w:shd w:val="clear" w:color="auto" w:fill="FFFFFF"/>
        </w:rPr>
        <w:t>.</w:t>
      </w:r>
      <w:r>
        <w:rPr>
          <w:rFonts w:hint="eastAsia" w:ascii="仿宋_GB2312" w:hAnsi="仿宋" w:eastAsia="仿宋_GB2312" w:cs="仿宋"/>
          <w:snapToGrid w:val="0"/>
          <w:kern w:val="0"/>
          <w:szCs w:val="32"/>
          <w:shd w:val="clear" w:color="auto" w:fill="FFFFFF"/>
        </w:rPr>
        <w:t>人民团体要在党的领导下，教育和组织团体成员和所联系群众依照宪法和法律的规定，通过各种途径和形式参加管理国家事务，管理经济文化事业，管理社会事务。</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zCs w:val="32"/>
          <w:shd w:val="clear" w:color="auto" w:fill="FFFFFF"/>
        </w:rPr>
      </w:pPr>
      <w:r>
        <w:rPr>
          <w:rFonts w:hint="eastAsia" w:ascii="仿宋_GB2312" w:hAnsi="仿宋" w:eastAsia="仿宋_GB2312" w:cs="仿宋"/>
          <w:snapToGrid w:val="0"/>
          <w:kern w:val="0"/>
          <w:szCs w:val="32"/>
          <w:shd w:val="clear" w:color="auto" w:fill="FFFFFF"/>
        </w:rPr>
        <w:t>51.坚持党对社会组织的领导，加强社会组织党的建设，确保社会组织发展的正确政治方向</w:t>
      </w:r>
      <w:r>
        <w:rPr>
          <w:rFonts w:hint="eastAsia" w:ascii="仿宋_GB2312" w:hAnsi="仿宋" w:eastAsia="仿宋_GB2312" w:cs="仿宋"/>
          <w:szCs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shd w:val="clear" w:color="auto" w:fill="FFFFFF"/>
        </w:rPr>
        <w:t>52</w:t>
      </w:r>
      <w:r>
        <w:rPr>
          <w:rFonts w:hint="eastAsia" w:ascii="仿宋_GB2312" w:hAnsi="仿宋" w:eastAsia="仿宋_GB2312" w:cs="仿宋"/>
          <w:b/>
          <w:bCs/>
          <w:snapToGrid w:val="0"/>
          <w:kern w:val="0"/>
          <w:szCs w:val="32"/>
          <w:shd w:val="clear" w:color="auto" w:fill="FFFFFF"/>
        </w:rPr>
        <w:t>.</w:t>
      </w:r>
      <w:r>
        <w:rPr>
          <w:rFonts w:hint="eastAsia" w:ascii="仿宋_GB2312" w:hAnsi="仿宋" w:eastAsia="仿宋_GB2312" w:cs="仿宋"/>
          <w:snapToGrid w:val="0"/>
          <w:kern w:val="0"/>
          <w:szCs w:val="32"/>
          <w:shd w:val="clear" w:color="auto" w:fill="FFFFFF"/>
        </w:rPr>
        <w:t>加大培育社会组织力度，重点培育、优先发展行业协会商会类、科技类、公益慈善类、城乡社区服务类社会组织。</w:t>
      </w:r>
      <w:r>
        <w:rPr>
          <w:rFonts w:hint="eastAsia" w:ascii="仿宋_GB2312" w:hAnsi="仿宋" w:eastAsia="仿宋_GB2312" w:cs="仿宋"/>
          <w:snapToGrid w:val="0"/>
          <w:kern w:val="0"/>
          <w:szCs w:val="32"/>
        </w:rPr>
        <w:t>推动和支持志愿服务组织发展，规范志愿服务活动和实践。</w:t>
      </w:r>
      <w:r>
        <w:rPr>
          <w:rFonts w:hint="eastAsia" w:ascii="仿宋_GB2312" w:hAnsi="仿宋" w:eastAsia="仿宋_GB2312" w:cs="仿宋"/>
          <w:snapToGrid w:val="0"/>
          <w:kern w:val="0"/>
          <w:szCs w:val="32"/>
          <w:shd w:val="clear" w:color="auto" w:fill="FFFFFF"/>
        </w:rPr>
        <w:t>发挥行业协会商会自律功能，探索建立行业自律组织。发挥社区社会组织在创新基层社会治理中的积极作用。完善政府购买公共服务机制，</w:t>
      </w:r>
      <w:r>
        <w:rPr>
          <w:rFonts w:hint="eastAsia" w:ascii="仿宋_GB2312" w:hAnsi="仿宋" w:eastAsia="仿宋_GB2312" w:cs="仿宋"/>
          <w:snapToGrid w:val="0"/>
          <w:kern w:val="0"/>
          <w:szCs w:val="32"/>
        </w:rPr>
        <w:t>鼓励社会组织积极参与政府购买服务活动，促进社会组织在提供公共服务中发挥更大作用。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黑体" w:eastAsia="仿宋_GB2312"/>
          <w:szCs w:val="32"/>
        </w:rPr>
      </w:pPr>
      <w:r>
        <w:rPr>
          <w:rFonts w:hint="eastAsia" w:ascii="楷体_GB2312" w:hAnsi="楷体" w:eastAsia="楷体_GB2312" w:cs="楷体"/>
          <w:b/>
          <w:bCs/>
          <w:szCs w:val="32"/>
        </w:rPr>
        <w:t>（二十）增强社会安全感</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53</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加快对社会安全体系的整体设计和战略规划，贯彻落实加快推进社会治理现代化开创平安中国建设新局面的意见。完善平安莲花山建设协调机制、责任分担机制，健全平安莲花山建设指标体系和考核标准。</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zCs w:val="32"/>
        </w:rPr>
        <w:t>54</w:t>
      </w:r>
      <w:r>
        <w:rPr>
          <w:rFonts w:hint="eastAsia" w:ascii="仿宋_GB2312" w:hAnsi="仿宋" w:eastAsia="仿宋_GB2312" w:cs="仿宋"/>
          <w:b/>
          <w:bCs/>
          <w:szCs w:val="32"/>
        </w:rPr>
        <w:t>.</w:t>
      </w:r>
      <w:r>
        <w:rPr>
          <w:rFonts w:hint="eastAsia" w:ascii="仿宋_GB2312" w:hAnsi="仿宋" w:eastAsia="仿宋_GB2312" w:cs="仿宋"/>
          <w:snapToGrid w:val="0"/>
          <w:kern w:val="0"/>
          <w:szCs w:val="32"/>
        </w:rPr>
        <w:t>推动扫黑除恶常态化，依法严厉打击和惩治暴力伤害医务人员、破坏野生动物资源、暴力恐怖、黄赌毒黑拐骗、高科技犯罪、网络犯罪等违法犯罪活动，遏制和预防严重犯罪行为的发生。</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zCs w:val="32"/>
        </w:rPr>
      </w:pPr>
      <w:r>
        <w:rPr>
          <w:rFonts w:hint="eastAsia" w:ascii="仿宋_GB2312" w:hAnsi="仿宋" w:eastAsia="仿宋_GB2312" w:cs="仿宋"/>
          <w:szCs w:val="32"/>
        </w:rPr>
        <w:t>55</w:t>
      </w:r>
      <w:r>
        <w:rPr>
          <w:rFonts w:hint="eastAsia" w:ascii="仿宋_GB2312" w:hAnsi="仿宋" w:eastAsia="仿宋_GB2312" w:cs="仿宋"/>
          <w:b/>
          <w:bCs/>
          <w:szCs w:val="32"/>
        </w:rPr>
        <w:t>.</w:t>
      </w:r>
      <w:r>
        <w:rPr>
          <w:rFonts w:hint="eastAsia" w:ascii="仿宋_GB2312" w:hAnsi="仿宋" w:eastAsia="仿宋_GB2312" w:cs="仿宋"/>
          <w:szCs w:val="32"/>
        </w:rPr>
        <w:t>强化突发事件应急体系建设，提升疫情防控、防灾减灾救灾能力。依法加强危害食品药品安全、影响生产安全、破坏交通安全等重点问题治理。</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56</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健全社会心理服务体系和疏导机制、危机干预机制，搭建基层心理健康服务平台，发展心理工作者、社会工作者等社会心理服务人才队伍，加强对社区弱势群体人文关怀、精神慰藉和心理健康服务。健全执法司法机关与社会心理服务机构的工作衔接，加强对执法司法涉及人群的心理疏导。依托各类公共法律服务窗口、法律救助工作站和维权热线，开展心理咨询和维权服务。</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57.</w:t>
      </w:r>
      <w:r>
        <w:rPr>
          <w:rFonts w:hint="eastAsia" w:ascii="仿宋_GB2312" w:hAnsi="仿宋" w:eastAsia="仿宋_GB2312" w:cs="仿宋"/>
          <w:snapToGrid w:val="0"/>
          <w:kern w:val="0"/>
          <w:szCs w:val="32"/>
        </w:rPr>
        <w:t>推进“青少年维权岗”“青少年零犯罪零受害村（社区）”创建，强化预防青少年犯罪工作的基层基础。推动妇联、志愿者、巾帼司法顾问团等发挥作用，深入村屯、社区等做好预防青少年犯罪的法治宣传教育。加强青少年权益维护，更好解决青少年维权个案办理。</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黑体" w:eastAsia="仿宋_GB2312"/>
          <w:szCs w:val="32"/>
        </w:rPr>
      </w:pPr>
      <w:r>
        <w:rPr>
          <w:rFonts w:hint="eastAsia" w:ascii="楷体_GB2312" w:hAnsi="楷体" w:eastAsia="楷体_GB2312" w:cs="楷体"/>
          <w:b/>
          <w:bCs/>
          <w:szCs w:val="32"/>
        </w:rPr>
        <w:t xml:space="preserve">   （二十一）依法有效化解社会矛盾纠纷</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napToGrid w:val="0"/>
          <w:kern w:val="0"/>
          <w:szCs w:val="32"/>
          <w:shd w:val="clear" w:color="auto" w:fill="FFFFFF"/>
        </w:rPr>
        <w:t>58.完善人民调解、行政调解、司法调解联动工作体系，加强矛盾排查和风险研判，</w:t>
      </w:r>
      <w:r>
        <w:rPr>
          <w:rFonts w:hint="eastAsia" w:ascii="仿宋_GB2312" w:hAnsi="仿宋" w:eastAsia="仿宋_GB2312" w:cs="仿宋"/>
          <w:snapToGrid w:val="0"/>
          <w:kern w:val="0"/>
          <w:szCs w:val="32"/>
        </w:rPr>
        <w:t>探索在矛盾纠纷多发领域建立“一站式”纠纷解决机制。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napToGrid w:val="0"/>
          <w:kern w:val="0"/>
          <w:szCs w:val="32"/>
        </w:rPr>
        <w:t>59.全面落实诉讼与信访分离制度，深入推进依法分类处理信访诉求。</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 w:hAnsi="仿宋" w:eastAsia="仿宋" w:cs="仿宋"/>
          <w:snapToGrid w:val="0"/>
          <w:kern w:val="0"/>
          <w:szCs w:val="32"/>
        </w:rPr>
      </w:pPr>
      <w:r>
        <w:rPr>
          <w:rFonts w:hint="eastAsia" w:ascii="仿宋_GB2312" w:hAnsi="仿宋" w:eastAsia="仿宋_GB2312" w:cs="仿宋"/>
          <w:snapToGrid w:val="0"/>
          <w:kern w:val="0"/>
          <w:szCs w:val="32"/>
        </w:rPr>
        <w:t>60.充分发挥律师在调解中的作用，</w:t>
      </w:r>
      <w:r>
        <w:rPr>
          <w:rFonts w:hint="eastAsia" w:ascii="仿宋" w:hAnsi="仿宋" w:eastAsia="仿宋" w:cs="仿宋"/>
          <w:szCs w:val="32"/>
          <w:shd w:val="clear" w:color="auto" w:fill="FFFFFF"/>
        </w:rPr>
        <w:t>建立健全律师参与纠纷调解保障机制。</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61.</w:t>
      </w:r>
      <w:r>
        <w:rPr>
          <w:rFonts w:hint="eastAsia" w:ascii="仿宋_GB2312" w:hAnsi="仿宋" w:eastAsia="仿宋_GB2312" w:cs="仿宋"/>
          <w:snapToGrid w:val="0"/>
          <w:kern w:val="0"/>
          <w:szCs w:val="32"/>
        </w:rPr>
        <w:t>推动仲裁委员会积极参与基层社会纠纷解决，支持仲裁融入基层社会治理。加强农村土地承包经营纠纷调解仲裁工作，在案件办理过程中注重加强调解</w:t>
      </w:r>
      <w:r>
        <w:rPr>
          <w:rFonts w:hint="eastAsia" w:ascii="仿宋_GB2312" w:hAnsi="仿宋" w:eastAsia="仿宋_GB2312" w:cs="仿宋"/>
          <w:szCs w:val="32"/>
        </w:rPr>
        <w:t>。</w:t>
      </w:r>
      <w:r>
        <w:rPr>
          <w:rFonts w:hint="eastAsia" w:ascii="仿宋_GB2312" w:hAnsi="仿宋" w:eastAsia="仿宋_GB2312" w:cs="仿宋"/>
          <w:snapToGrid w:val="0"/>
          <w:kern w:val="0"/>
          <w:szCs w:val="32"/>
        </w:rPr>
        <w:t>加强劳动人事争议调解仲裁工作，完善协商、调解、仲裁、诉讼相互协调、有序衔接的劳动人事争议多元处理机制，提高劳动人事争议处理质效。</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62</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加强行政复议、行政调解、行政裁决工作，发挥行政机关化解纠纷的“分流阀”作用。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黑体" w:hAnsi="黑体" w:eastAsia="黑体" w:cs="仿宋"/>
          <w:szCs w:val="32"/>
        </w:rPr>
      </w:pPr>
      <w:r>
        <w:rPr>
          <w:rFonts w:hint="eastAsia" w:ascii="黑体" w:hAnsi="黑体" w:eastAsia="黑体"/>
          <w:szCs w:val="32"/>
        </w:rPr>
        <w:t>六、依法治理网络空间</w:t>
      </w:r>
    </w:p>
    <w:p>
      <w:pPr>
        <w:keepNext w:val="0"/>
        <w:keepLines w:val="0"/>
        <w:pageBreakBefore w:val="0"/>
        <w:kinsoku/>
        <w:wordWrap/>
        <w:overflowPunct/>
        <w:topLinePunct w:val="0"/>
        <w:autoSpaceDE/>
        <w:autoSpaceDN/>
        <w:bidi w:val="0"/>
        <w:adjustRightInd/>
        <w:snapToGrid/>
        <w:spacing w:line="560" w:lineRule="exact"/>
        <w:textAlignment w:val="auto"/>
        <w:rPr>
          <w:rFonts w:ascii="楷体_GB2312" w:hAnsi="楷体" w:eastAsia="楷体_GB2312" w:cs="楷体"/>
          <w:b/>
          <w:bCs/>
          <w:szCs w:val="32"/>
        </w:rPr>
      </w:pPr>
      <w:r>
        <w:rPr>
          <w:rFonts w:hint="eastAsia" w:ascii="楷体_GB2312" w:hAnsi="楷体" w:eastAsia="楷体_GB2312" w:cs="楷体"/>
          <w:b/>
          <w:bCs/>
          <w:szCs w:val="32"/>
        </w:rPr>
        <w:t xml:space="preserve">  （二十二）完善网络法律制度</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szCs w:val="32"/>
        </w:rPr>
      </w:pPr>
      <w:r>
        <w:rPr>
          <w:rFonts w:hint="eastAsia" w:ascii="仿宋_GB2312" w:hAnsi="仿宋" w:eastAsia="仿宋_GB2312" w:cs="仿宋"/>
          <w:snapToGrid w:val="0"/>
          <w:szCs w:val="32"/>
        </w:rPr>
        <w:t>63.全面贯彻网络安全和信息化领域等法律法规，因地制宜制定相应配套制度，推动现有法规规章和我区配套制度延伸适用到网络空间。</w:t>
      </w:r>
    </w:p>
    <w:p>
      <w:pPr>
        <w:pStyle w:val="6"/>
        <w:keepNext w:val="0"/>
        <w:keepLines w:val="0"/>
        <w:pageBreakBefore w:val="0"/>
        <w:kinsoku/>
        <w:wordWrap/>
        <w:overflowPunct/>
        <w:topLinePunct w:val="0"/>
        <w:autoSpaceDE/>
        <w:autoSpaceDN/>
        <w:bidi w:val="0"/>
        <w:adjustRightInd/>
        <w:snapToGrid/>
        <w:spacing w:line="560" w:lineRule="exact"/>
        <w:ind w:firstLine="594"/>
        <w:jc w:val="both"/>
        <w:textAlignment w:val="auto"/>
        <w:rPr>
          <w:rFonts w:ascii="仿宋_GB2312" w:hAnsi="仿宋" w:eastAsia="仿宋_GB2312" w:cs="仿宋"/>
          <w:snapToGrid w:val="0"/>
          <w:sz w:val="32"/>
          <w:szCs w:val="32"/>
        </w:rPr>
      </w:pPr>
      <w:r>
        <w:rPr>
          <w:rFonts w:hint="eastAsia" w:ascii="仿宋_GB2312" w:hAnsi="仿宋" w:eastAsia="仿宋_GB2312" w:cs="仿宋"/>
          <w:bCs/>
          <w:snapToGrid w:val="0"/>
          <w:sz w:val="32"/>
          <w:szCs w:val="32"/>
        </w:rPr>
        <w:t>64</w:t>
      </w:r>
      <w:r>
        <w:rPr>
          <w:rFonts w:hint="eastAsia" w:ascii="仿宋_GB2312" w:hAnsi="仿宋" w:eastAsia="仿宋_GB2312" w:cs="仿宋"/>
          <w:b/>
          <w:bCs/>
          <w:snapToGrid w:val="0"/>
          <w:sz w:val="32"/>
          <w:szCs w:val="32"/>
        </w:rPr>
        <w:t>.</w:t>
      </w:r>
      <w:r>
        <w:rPr>
          <w:rFonts w:hint="eastAsia" w:ascii="仿宋_GB2312" w:hAnsi="仿宋" w:eastAsia="仿宋_GB2312" w:cs="仿宋"/>
          <w:snapToGrid w:val="0"/>
          <w:sz w:val="32"/>
          <w:szCs w:val="32"/>
        </w:rPr>
        <w:t>做好网络安全法配套规定和标准体系、关键信息基础设施安全保护、数据安全管理和网络安全审查等网络安全管理制度的贯彻实施，加强对大数据、云计算和人工智能等新技术研发应用的规范引导。</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黑体" w:eastAsia="仿宋_GB2312"/>
          <w:szCs w:val="32"/>
        </w:rPr>
      </w:pPr>
      <w:r>
        <w:rPr>
          <w:rFonts w:hint="eastAsia" w:ascii="楷体_GB2312" w:hAnsi="楷体" w:eastAsia="楷体_GB2312" w:cs="楷体"/>
          <w:b/>
          <w:bCs/>
          <w:szCs w:val="32"/>
        </w:rPr>
        <w:t xml:space="preserve">   （二十三）培育良好的网络法治意识</w:t>
      </w:r>
      <w:r>
        <w:rPr>
          <w:rFonts w:hint="eastAsia" w:ascii="楷体_GB2312" w:hAnsi="楷体" w:eastAsia="楷体_GB2312" w:cs="楷体"/>
          <w:b/>
          <w:bCs/>
          <w:szCs w:val="32"/>
        </w:rPr>
        <w:tab/>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65</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加强和创新互联网内容建设，实施社会主义核心价值观、中华文化新媒体传播等工程。</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66</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推动互联网信息服务领域严重失信“黑名单”制度和惩戒机制，推动网络诚信制度化建设。</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_GB2312" w:eastAsia="仿宋_GB2312" w:cs="仿宋_GB2312"/>
          <w:snapToGrid w:val="0"/>
          <w:kern w:val="0"/>
          <w:szCs w:val="32"/>
        </w:rPr>
      </w:pPr>
      <w:r>
        <w:rPr>
          <w:rFonts w:hint="eastAsia" w:ascii="仿宋_GB2312" w:hAnsi="仿宋" w:eastAsia="仿宋_GB2312" w:cs="仿宋"/>
          <w:bCs/>
          <w:snapToGrid w:val="0"/>
          <w:kern w:val="0"/>
          <w:szCs w:val="32"/>
        </w:rPr>
        <w:t>67.</w:t>
      </w:r>
      <w:r>
        <w:rPr>
          <w:rFonts w:hint="eastAsia" w:ascii="仿宋_GB2312" w:hAnsi="仿宋" w:eastAsia="仿宋_GB2312" w:cs="仿宋"/>
          <w:snapToGrid w:val="0"/>
          <w:kern w:val="0"/>
          <w:szCs w:val="32"/>
        </w:rPr>
        <w:t>坚决依法打击谣言、淫秽、暴力、迷信、邪教等有害信息在网络空间传播蔓延，建立健全互联网违法和不良信息举报一体化受理处置体系。</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68.</w:t>
      </w:r>
      <w:r>
        <w:rPr>
          <w:rFonts w:hint="eastAsia" w:ascii="仿宋_GB2312" w:hAnsi="仿宋" w:eastAsia="仿宋_GB2312" w:cs="仿宋"/>
          <w:snapToGrid w:val="0"/>
          <w:kern w:val="0"/>
          <w:szCs w:val="32"/>
        </w:rPr>
        <w:t>加强全社会网络法治和网络素养教育，强化青少年网络安全教育，引导青少年理性上网。引导网民文明上网、理性表达，营造风清气正的网络环境。</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黑体" w:eastAsia="仿宋_GB2312"/>
          <w:szCs w:val="32"/>
        </w:rPr>
      </w:pPr>
      <w:r>
        <w:rPr>
          <w:rFonts w:hint="eastAsia" w:ascii="楷体_GB2312" w:hAnsi="楷体" w:eastAsia="楷体_GB2312" w:cs="楷体"/>
          <w:b/>
          <w:bCs/>
          <w:szCs w:val="32"/>
        </w:rPr>
        <w:t xml:space="preserve">   （二十四）保障公民依法安全用网</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69</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落实网络安全责任制，明确管理部门和网信企业的网络安全责任。建立完善统一高效的网络安全风险报告机制、研判处置机制，健全网络安全检查制度。深入开展网络安全责任制落实情况专项督查，进一步压实网络安全工作责任。</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zCs w:val="32"/>
        </w:rPr>
        <w:t>70.</w:t>
      </w:r>
      <w:r>
        <w:rPr>
          <w:rFonts w:hint="eastAsia" w:ascii="仿宋_GB2312" w:hAnsi="仿宋" w:eastAsia="仿宋_GB2312" w:cs="仿宋"/>
          <w:snapToGrid w:val="0"/>
          <w:kern w:val="0"/>
          <w:szCs w:val="32"/>
        </w:rPr>
        <w:t>严格规范收集使用用户身份、通信内容等个人信息行为。加大对非法获取、泄露、出售、提供公民个人信息等违法犯罪行为的惩处力度。</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napToGrid w:val="0"/>
          <w:kern w:val="0"/>
          <w:szCs w:val="32"/>
        </w:rPr>
        <w:t>71</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督促网信企业落实主体责任，履行法律规定的安全管理责任。支持网信企业建立健全行业规范和行业自律制度，引导网信企业牢固树立“法律红线不能触碰、法律底线不能逾越”的意识。</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_GB2312" w:eastAsia="仿宋_GB2312" w:cs="仿宋_GB2312"/>
          <w:snapToGrid w:val="0"/>
          <w:kern w:val="0"/>
          <w:szCs w:val="32"/>
        </w:rPr>
      </w:pPr>
      <w:r>
        <w:rPr>
          <w:rFonts w:hint="eastAsia" w:ascii="仿宋_GB2312" w:hAnsi="仿宋" w:eastAsia="仿宋_GB2312" w:cs="仿宋"/>
          <w:bCs/>
          <w:snapToGrid w:val="0"/>
          <w:kern w:val="0"/>
          <w:szCs w:val="32"/>
        </w:rPr>
        <w:t>72</w:t>
      </w:r>
      <w:r>
        <w:rPr>
          <w:rFonts w:hint="eastAsia" w:ascii="仿宋_GB2312" w:hAnsi="仿宋" w:eastAsia="仿宋_GB2312" w:cs="仿宋"/>
          <w:b/>
          <w:bCs/>
          <w:snapToGrid w:val="0"/>
          <w:kern w:val="0"/>
          <w:szCs w:val="32"/>
        </w:rPr>
        <w:t>.</w:t>
      </w:r>
      <w:r>
        <w:rPr>
          <w:rFonts w:hint="eastAsia" w:ascii="仿宋_GB2312" w:hAnsi="仿宋" w:eastAsia="仿宋_GB2312" w:cs="仿宋"/>
          <w:snapToGrid w:val="0"/>
          <w:kern w:val="0"/>
          <w:szCs w:val="32"/>
        </w:rPr>
        <w:t>健全网络与信息突发安全事件应急机制，落实属地责任和主体责任，强化网络信息安全情报共享，加强网络信息安全突发事件应对处置工作。</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bCs/>
          <w:szCs w:val="32"/>
        </w:rPr>
        <w:t>73</w:t>
      </w:r>
      <w:r>
        <w:rPr>
          <w:rFonts w:hint="eastAsia" w:ascii="仿宋_GB2312" w:hAnsi="仿宋" w:eastAsia="仿宋_GB2312" w:cs="仿宋"/>
          <w:b/>
          <w:bCs/>
          <w:szCs w:val="32"/>
        </w:rPr>
        <w:t>.</w:t>
      </w:r>
      <w:r>
        <w:rPr>
          <w:rFonts w:hint="eastAsia" w:ascii="仿宋_GB2312" w:hAnsi="仿宋" w:eastAsia="仿宋_GB2312" w:cs="仿宋"/>
          <w:snapToGrid w:val="0"/>
          <w:kern w:val="0"/>
          <w:szCs w:val="32"/>
        </w:rPr>
        <w:t>完善网络安全和信息化执法联动机制，加强网络违法犯罪监控和查处能力建设，依法查处和打击网络金融犯罪、网络侵权、网络诽谤、网络诈骗、网络色情、攻击窃密等违法犯罪行为.</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黑体" w:hAnsi="黑体" w:eastAsia="黑体"/>
        </w:rPr>
      </w:pPr>
      <w:r>
        <w:rPr>
          <w:rFonts w:hint="eastAsia" w:ascii="黑体" w:hAnsi="黑体" w:eastAsia="黑体"/>
        </w:rPr>
        <w:t>七、加强组织保障</w:t>
      </w:r>
    </w:p>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rPr>
      </w:pPr>
      <w:r>
        <w:rPr>
          <w:rFonts w:hint="eastAsia" w:ascii="楷体_GB2312" w:hAnsi="楷体" w:eastAsia="楷体_GB2312" w:cs="楷体"/>
          <w:b/>
          <w:bCs/>
          <w:snapToGrid w:val="0"/>
          <w:kern w:val="0"/>
        </w:rPr>
        <w:t xml:space="preserve">   （二十五）强化组织领导。</w:t>
      </w:r>
      <w:r>
        <w:rPr>
          <w:rFonts w:hint="eastAsia" w:ascii="仿宋_GB2312" w:hAnsi="仿宋" w:eastAsia="仿宋_GB2312" w:cs="仿宋"/>
          <w:snapToGrid w:val="0"/>
          <w:kern w:val="0"/>
        </w:rPr>
        <w:t>各党委要认真落实法治社会建设的领导责任，推动解决法治社会建设过程中的重点难点问题。将法治社会建设摆在重要位置，纳入经济社会发展总体规划，落实好法治社会建设各项任务。基层党组织要在法治社会建设中充分发挥战斗堡垒作用。</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黑体" w:hAnsi="黑体" w:eastAsia="黑体"/>
        </w:rPr>
      </w:pPr>
      <w:r>
        <w:rPr>
          <w:rFonts w:hint="eastAsia" w:ascii="楷体_GB2312" w:hAnsi="楷体" w:eastAsia="楷体_GB2312" w:cs="楷体"/>
          <w:b/>
          <w:bCs/>
          <w:snapToGrid w:val="0"/>
          <w:kern w:val="0"/>
        </w:rPr>
        <w:t>（二十六）抓好统筹协调。</w:t>
      </w:r>
      <w:r>
        <w:rPr>
          <w:rFonts w:hint="eastAsia" w:ascii="仿宋_GB2312" w:hAnsi="仿宋" w:eastAsia="仿宋_GB2312" w:cs="仿宋"/>
          <w:snapToGrid w:val="0"/>
          <w:kern w:val="0"/>
          <w:szCs w:val="32"/>
        </w:rPr>
        <w:t>各党委要加强法治社会建设统筹谋划，推动构建上下协调、部门联动的工作机制，广泛调动全社会各方力量采取多种形式参与法治社会建设，形成强大工作合力。</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黑体" w:hAnsi="黑体" w:eastAsia="黑体"/>
        </w:rPr>
      </w:pPr>
      <w:r>
        <w:rPr>
          <w:rFonts w:hint="eastAsia" w:ascii="楷体_GB2312" w:hAnsi="楷体" w:eastAsia="楷体_GB2312" w:cs="楷体"/>
          <w:b/>
          <w:bCs/>
          <w:snapToGrid w:val="0"/>
          <w:kern w:val="0"/>
          <w:szCs w:val="32"/>
        </w:rPr>
        <w:t>（二十七）健全考核机制。</w:t>
      </w:r>
      <w:r>
        <w:rPr>
          <w:rFonts w:hint="eastAsia" w:ascii="仿宋_GB2312" w:hAnsi="仿宋" w:eastAsia="仿宋_GB2312" w:cs="仿宋"/>
          <w:snapToGrid w:val="0"/>
          <w:kern w:val="0"/>
          <w:szCs w:val="32"/>
        </w:rPr>
        <w:t>各党委各部门要把法治社会建设成效作为衡量领导班子和领导干部工作实绩的重要内容，纳入法治建设考核指标体系。要将法治社会建设纳入法治督察工作</w:t>
      </w:r>
      <w:r>
        <w:rPr>
          <w:rFonts w:hint="eastAsia" w:ascii="仿宋_GB2312" w:hAnsi="仿宋" w:eastAsia="仿宋_GB2312" w:cs="仿宋"/>
          <w:snapToGrid w:val="0"/>
          <w:kern w:val="0"/>
        </w:rPr>
        <w:t>机制，</w:t>
      </w:r>
      <w:r>
        <w:rPr>
          <w:rFonts w:hint="eastAsia" w:ascii="仿宋_GB2312" w:hAnsi="仿宋" w:eastAsia="仿宋_GB2312" w:cs="仿宋"/>
          <w:snapToGrid w:val="0"/>
          <w:kern w:val="0"/>
          <w:szCs w:val="32"/>
        </w:rPr>
        <w:t>确保中央和省市委关于法治社会建设各项决策部署落到实处。</w:t>
      </w:r>
      <w:r>
        <w:rPr>
          <w:rFonts w:hint="eastAsia" w:ascii="仿宋" w:hAnsi="仿宋" w:eastAsia="仿宋" w:cs="仿宋"/>
          <w:snapToGrid w:val="0"/>
          <w:kern w:val="0"/>
          <w:szCs w:val="32"/>
        </w:rPr>
        <w:t>党工委全面依法治区委员会办公室要</w:t>
      </w:r>
      <w:r>
        <w:rPr>
          <w:rFonts w:hint="eastAsia" w:ascii="仿宋_GB2312" w:hAnsi="仿宋" w:eastAsia="仿宋_GB2312" w:cs="仿宋"/>
          <w:snapToGrid w:val="0"/>
          <w:kern w:val="0"/>
          <w:szCs w:val="32"/>
        </w:rPr>
        <w:t>制定法治社会建设评价指标体系，健全完善群众满意度测评制度。</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黑体" w:hAnsi="黑体" w:eastAsia="黑体"/>
        </w:rPr>
      </w:pPr>
      <w:r>
        <w:rPr>
          <w:rFonts w:hint="eastAsia" w:ascii="楷体_GB2312" w:hAnsi="楷体" w:eastAsia="楷体_GB2312" w:cs="楷体"/>
          <w:b/>
          <w:bCs/>
          <w:snapToGrid w:val="0"/>
          <w:kern w:val="0"/>
          <w:szCs w:val="32"/>
        </w:rPr>
        <w:t>（二十八）加强宣传引导</w:t>
      </w:r>
      <w:r>
        <w:rPr>
          <w:rFonts w:hint="eastAsia" w:ascii="楷体" w:hAnsi="楷体" w:eastAsia="楷体" w:cs="楷体"/>
          <w:b/>
          <w:bCs/>
          <w:snapToGrid w:val="0"/>
          <w:kern w:val="0"/>
          <w:szCs w:val="32"/>
        </w:rPr>
        <w:t>。</w:t>
      </w:r>
      <w:r>
        <w:rPr>
          <w:rFonts w:hint="eastAsia" w:ascii="仿宋" w:hAnsi="仿宋" w:eastAsia="仿宋" w:cs="仿宋"/>
          <w:snapToGrid w:val="0"/>
          <w:kern w:val="0"/>
          <w:szCs w:val="32"/>
        </w:rPr>
        <w:t>各乡镇、区直各部门要</w:t>
      </w:r>
      <w:r>
        <w:rPr>
          <w:rFonts w:hint="eastAsia" w:ascii="仿宋_GB2312" w:hAnsi="仿宋" w:eastAsia="仿宋_GB2312" w:cs="仿宋"/>
          <w:snapToGrid w:val="0"/>
          <w:kern w:val="0"/>
          <w:szCs w:val="32"/>
        </w:rPr>
        <w:t>广泛宣传法治社会建设先进经验、典型做法，正确引导舆论，凝聚社会共识，营造全社会关心、支持、参与和监督法治社会建设的良好社会氛围。</w:t>
      </w:r>
    </w:p>
    <w:p>
      <w:pPr>
        <w:keepNext w:val="0"/>
        <w:keepLines w:val="0"/>
        <w:pageBreakBefore w:val="0"/>
        <w:kinsoku/>
        <w:wordWrap/>
        <w:overflowPunct/>
        <w:topLinePunct w:val="0"/>
        <w:autoSpaceDE/>
        <w:autoSpaceDN/>
        <w:bidi w:val="0"/>
        <w:adjustRightInd/>
        <w:snapToGrid/>
        <w:spacing w:line="560" w:lineRule="exact"/>
        <w:ind w:firstLine="594" w:firstLineChars="200"/>
        <w:textAlignment w:val="auto"/>
        <w:rPr>
          <w:rFonts w:ascii="仿宋_GB2312" w:hAnsi="仿宋" w:eastAsia="仿宋_GB2312" w:cs="仿宋"/>
          <w:snapToGrid w:val="0"/>
          <w:kern w:val="0"/>
          <w:szCs w:val="32"/>
        </w:rPr>
      </w:pPr>
      <w:r>
        <w:rPr>
          <w:rFonts w:hint="eastAsia" w:ascii="仿宋_GB2312" w:hAnsi="仿宋" w:eastAsia="仿宋_GB2312" w:cs="仿宋"/>
          <w:snapToGrid w:val="0"/>
          <w:kern w:val="0"/>
          <w:szCs w:val="32"/>
        </w:rPr>
        <w:t>各乡镇、区直各部门要全面贯彻本实施方案精神和要求，结合工作实际，制定可执行、可操</w:t>
      </w:r>
      <w:r>
        <w:rPr>
          <w:rFonts w:hint="eastAsia" w:ascii="仿宋_GB2312" w:hAnsi="仿宋" w:eastAsia="仿宋_GB2312" w:cs="仿宋"/>
          <w:snapToGrid w:val="0"/>
          <w:kern w:val="0"/>
          <w:szCs w:val="32"/>
          <w:lang w:val="en-US" w:eastAsia="zh-CN"/>
        </w:rPr>
        <w:t xml:space="preserve"> </w:t>
      </w:r>
      <w:r>
        <w:rPr>
          <w:rFonts w:hint="eastAsia" w:ascii="仿宋_GB2312" w:hAnsi="仿宋" w:eastAsia="仿宋_GB2312" w:cs="仿宋"/>
          <w:snapToGrid w:val="0"/>
          <w:kern w:val="0"/>
          <w:szCs w:val="32"/>
        </w:rPr>
        <w:t>作的落实举措。党工委全面依法治区委员会办公室要强化统筹协调和督导落实，确保实施方案各项任务措施落到实处。</w:t>
      </w:r>
    </w:p>
    <w:p>
      <w:pPr>
        <w:pStyle w:val="2"/>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kinsoku/>
        <w:wordWrap/>
        <w:overflowPunct/>
        <w:topLinePunct w:val="0"/>
        <w:autoSpaceDE/>
        <w:autoSpaceDN/>
        <w:bidi w:val="0"/>
        <w:adjustRightInd/>
        <w:snapToGrid/>
        <w:spacing w:line="560" w:lineRule="exact"/>
        <w:textAlignment w:val="auto"/>
        <w:sectPr>
          <w:footerReference r:id="rId3" w:type="default"/>
          <w:pgSz w:w="11906" w:h="16838"/>
          <w:pgMar w:top="1417" w:right="1587" w:bottom="1417" w:left="1701" w:header="851" w:footer="1417" w:gutter="0"/>
          <w:pgNumType w:fmt="numberInDash"/>
          <w:cols w:space="0" w:num="1"/>
          <w:docGrid w:type="linesAndChars" w:linePitch="634" w:charSpace="-4740"/>
        </w:sectPr>
      </w:pPr>
    </w:p>
    <w:p>
      <w:pPr>
        <w:rPr>
          <w:rFonts w:ascii="仿宋" w:hAnsi="仿宋" w:eastAsia="仿宋"/>
          <w:szCs w:val="32"/>
        </w:rPr>
      </w:pPr>
      <w:r>
        <w:rPr>
          <w:rFonts w:hint="eastAsia" w:ascii="仿宋" w:hAnsi="仿宋" w:eastAsia="仿宋"/>
          <w:szCs w:val="32"/>
        </w:rPr>
        <w:t>附件</w:t>
      </w:r>
    </w:p>
    <w:tbl>
      <w:tblPr>
        <w:tblStyle w:val="7"/>
        <w:tblW w:w="15817" w:type="dxa"/>
        <w:jc w:val="center"/>
        <w:tblLayout w:type="fixed"/>
        <w:tblCellMar>
          <w:top w:w="0" w:type="dxa"/>
          <w:left w:w="0" w:type="dxa"/>
          <w:bottom w:w="0" w:type="dxa"/>
          <w:right w:w="0" w:type="dxa"/>
        </w:tblCellMar>
      </w:tblPr>
      <w:tblGrid>
        <w:gridCol w:w="1593"/>
        <w:gridCol w:w="2409"/>
        <w:gridCol w:w="7080"/>
        <w:gridCol w:w="1856"/>
        <w:gridCol w:w="1380"/>
        <w:gridCol w:w="1499"/>
      </w:tblGrid>
      <w:tr>
        <w:tblPrEx>
          <w:tblCellMar>
            <w:top w:w="0" w:type="dxa"/>
            <w:left w:w="0" w:type="dxa"/>
            <w:bottom w:w="0" w:type="dxa"/>
            <w:right w:w="0" w:type="dxa"/>
          </w:tblCellMar>
        </w:tblPrEx>
        <w:trPr>
          <w:trHeight w:val="600" w:hRule="atLeast"/>
          <w:jc w:val="center"/>
        </w:trPr>
        <w:tc>
          <w:tcPr>
            <w:tcW w:w="15817" w:type="dxa"/>
            <w:gridSpan w:val="6"/>
            <w:vAlign w:val="center"/>
          </w:tcPr>
          <w:p>
            <w:pPr>
              <w:widowControl/>
              <w:spacing w:line="600" w:lineRule="exact"/>
              <w:jc w:val="center"/>
              <w:textAlignment w:val="center"/>
              <w:rPr>
                <w:rFonts w:ascii="宋体" w:hAnsi="宋体" w:cs="宋体"/>
                <w:b/>
                <w:sz w:val="24"/>
                <w:szCs w:val="24"/>
              </w:rPr>
            </w:pPr>
            <w:r>
              <w:rPr>
                <w:rFonts w:hint="eastAsia" w:ascii="方正小标宋简体" w:hAnsi="方正小标宋简体" w:eastAsia="方正小标宋简体" w:cs="方正小标宋简体"/>
                <w:b/>
                <w:bCs/>
                <w:spacing w:val="-24"/>
                <w:kern w:val="0"/>
                <w:sz w:val="44"/>
                <w:szCs w:val="44"/>
              </w:rPr>
              <w:t>莲花山度假区法治社会建设实施方案（2021 - 2025年）重点工作任务分工</w:t>
            </w:r>
          </w:p>
        </w:tc>
      </w:tr>
      <w:tr>
        <w:tblPrEx>
          <w:tblCellMar>
            <w:top w:w="0" w:type="dxa"/>
            <w:left w:w="0" w:type="dxa"/>
            <w:bottom w:w="0" w:type="dxa"/>
            <w:right w:w="0" w:type="dxa"/>
          </w:tblCellMar>
        </w:tblPrEx>
        <w:trPr>
          <w:trHeight w:val="494" w:hRule="atLeast"/>
          <w:jc w:val="center"/>
        </w:trPr>
        <w:tc>
          <w:tcPr>
            <w:tcW w:w="15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85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3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49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5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85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49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2012" w:hRule="atLeast"/>
          <w:jc w:val="center"/>
        </w:trPr>
        <w:tc>
          <w:tcPr>
            <w:tcW w:w="1593" w:type="dxa"/>
            <w:vMerge w:val="restart"/>
            <w:tcBorders>
              <w:top w:val="single" w:color="auto" w:sz="4" w:space="0"/>
              <w:left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一、推动全社会增强法治观念</w:t>
            </w: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（一）维护宪法权威</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1.深入宣传宪法，把学习宣传宪法作为“八五”普法的首要任务，纳入年度计划。实现“12·4”国家宪法日和“宪法宣传周”集中宣传活动制度化、常态化，推动宪法进机关、进学校、进企业、进社区、进乡村、进家庭、进宗教场所、进网络，进一步弘扬宪法精神，增强宪法意识，努力营造尊崇宪法、学习宪法、遵守宪法、维护宪法、运用宪法的社会氛围。</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依法治区办</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宣传部</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2038" w:hRule="atLeast"/>
          <w:jc w:val="center"/>
        </w:trPr>
        <w:tc>
          <w:tcPr>
            <w:tcW w:w="1593"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2.加强国家工作人员特别是各级领导干部的宪法教育，把宪法法律纳入各级党委理论学习中心组学习内容、纳入全区党员干部理论学习和法治教育安排。邀请法律专家举办宪法学习专题讲座，利用长春市干部网络学校平台，组织国家工作人员全面深入学习宪法。落实宪法宣誓制度，组织国家工作人员在就职时以及新录用公务员在初任培训中，依照法律规定进行宪法宣誓。</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机关党委</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党工委办公室、人社局</w:t>
            </w:r>
          </w:p>
        </w:tc>
      </w:tr>
      <w:tr>
        <w:tblPrEx>
          <w:tblCellMar>
            <w:top w:w="0" w:type="dxa"/>
            <w:left w:w="0" w:type="dxa"/>
            <w:bottom w:w="0" w:type="dxa"/>
            <w:right w:w="0" w:type="dxa"/>
          </w:tblCellMar>
        </w:tblPrEx>
        <w:trPr>
          <w:trHeight w:val="929" w:hRule="atLeast"/>
          <w:jc w:val="center"/>
        </w:trPr>
        <w:tc>
          <w:tcPr>
            <w:tcW w:w="1593"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3.持续开展全区中小学生“学宪法讲宪法”活动，在国家宪法日组织中小学生开展“宪法晨读”和主题演讲活动。</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教卫局</w:t>
            </w:r>
          </w:p>
        </w:tc>
      </w:tr>
      <w:tr>
        <w:tblPrEx>
          <w:tblCellMar>
            <w:top w:w="0" w:type="dxa"/>
            <w:left w:w="0" w:type="dxa"/>
            <w:bottom w:w="0" w:type="dxa"/>
            <w:right w:w="0" w:type="dxa"/>
          </w:tblCellMar>
        </w:tblPrEx>
        <w:trPr>
          <w:trHeight w:val="1140" w:hRule="atLeast"/>
          <w:jc w:val="center"/>
        </w:trPr>
        <w:tc>
          <w:tcPr>
            <w:tcW w:w="1593"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4.深入学习宣传习近平法治思想，深入宣传以宪法为核心的中国特色社会主义法律体系，广泛宣传与经济社会发展和人民群众利益密切相关的法律法规，持续提升公民法治素养。</w:t>
            </w:r>
          </w:p>
        </w:tc>
        <w:tc>
          <w:tcPr>
            <w:tcW w:w="1856"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3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Cs w:val="21"/>
              </w:rPr>
            </w:pPr>
          </w:p>
        </w:tc>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教卫局</w:t>
            </w: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692" w:type="dxa"/>
        <w:jc w:val="center"/>
        <w:tblLayout w:type="fixed"/>
        <w:tblCellMar>
          <w:top w:w="0" w:type="dxa"/>
          <w:left w:w="0" w:type="dxa"/>
          <w:bottom w:w="0" w:type="dxa"/>
          <w:right w:w="0" w:type="dxa"/>
        </w:tblCellMar>
      </w:tblPr>
      <w:tblGrid>
        <w:gridCol w:w="1819"/>
        <w:gridCol w:w="1992"/>
        <w:gridCol w:w="7080"/>
        <w:gridCol w:w="1922"/>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19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92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47"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9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117" w:hRule="atLeast"/>
          <w:jc w:val="center"/>
        </w:trPr>
        <w:tc>
          <w:tcPr>
            <w:tcW w:w="1819" w:type="dxa"/>
            <w:vMerge w:val="restart"/>
            <w:tcBorders>
              <w:top w:val="single" w:color="auto" w:sz="4" w:space="0"/>
              <w:left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一、推动全社会增强法治观念</w:t>
            </w:r>
          </w:p>
        </w:tc>
        <w:tc>
          <w:tcPr>
            <w:tcW w:w="1992"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（二）增强全民法治观念</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5.大力普及宣传民法典，组织开展“美好生活·民法典相伴”主题宣传活动，进一步创新工作形式和内容，推动全社会严格执行民法典，引导全区群众学好用好民法典。</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依法治区办</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政法委办公室</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宣传部</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896"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992"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6.加强疫病防治、野生动物保护、公共卫生安全等方面法律法规和相关知识的宣传教育，做好《传染病防治法》《食品安全法》等法律法规的普及宣传，在“世界野生动植物日”“爱鸟周”等时间节点，组织开展野生动物保护主题宣传活动。</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r>
      <w:tr>
        <w:tblPrEx>
          <w:tblCellMar>
            <w:top w:w="0" w:type="dxa"/>
            <w:left w:w="0" w:type="dxa"/>
            <w:bottom w:w="0" w:type="dxa"/>
            <w:right w:w="0" w:type="dxa"/>
          </w:tblCellMar>
        </w:tblPrEx>
        <w:trPr>
          <w:trHeight w:val="1121"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992"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7.引导全社会尊重司法裁判，维护司法权威。在法律法规实施过程中，明确提倡什么、反对什么、禁止什么，加强裁判说理，厘清争点、亮明观点，推动社会主义核心价值观转化为社会公众的情感认同和行为习惯。</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sz w:val="21"/>
                <w:szCs w:val="21"/>
              </w:rPr>
            </w:pPr>
            <w:r>
              <w:rPr>
                <w:rFonts w:hint="eastAsia" w:ascii="宋体" w:hAnsi="宋体" w:cs="宋体"/>
                <w:sz w:val="21"/>
                <w:szCs w:val="21"/>
              </w:rPr>
              <w:t>教卫局</w:t>
            </w:r>
          </w:p>
          <w:p>
            <w:pPr>
              <w:widowControl/>
              <w:spacing w:line="260" w:lineRule="exact"/>
              <w:jc w:val="center"/>
              <w:textAlignment w:val="center"/>
              <w:rPr>
                <w:rFonts w:ascii="宋体" w:hAnsi="宋体" w:cs="宋体"/>
                <w:sz w:val="21"/>
                <w:szCs w:val="21"/>
              </w:rPr>
            </w:pPr>
            <w:r>
              <w:rPr>
                <w:rFonts w:hint="eastAsia" w:ascii="宋体" w:hAnsi="宋体" w:cs="宋体"/>
                <w:sz w:val="21"/>
                <w:szCs w:val="21"/>
              </w:rPr>
              <w:t>农业农村局</w:t>
            </w:r>
          </w:p>
          <w:p>
            <w:pPr>
              <w:widowControl/>
              <w:spacing w:line="260" w:lineRule="exact"/>
              <w:jc w:val="center"/>
              <w:textAlignment w:val="center"/>
              <w:rPr>
                <w:rFonts w:ascii="宋体" w:hAnsi="宋体" w:cs="宋体"/>
                <w:sz w:val="21"/>
                <w:szCs w:val="21"/>
              </w:rPr>
            </w:pPr>
            <w:r>
              <w:rPr>
                <w:rFonts w:hint="eastAsia" w:ascii="宋体" w:hAnsi="宋体" w:cs="宋体"/>
                <w:sz w:val="21"/>
                <w:szCs w:val="21"/>
              </w:rPr>
              <w:t>林园局</w:t>
            </w:r>
          </w:p>
        </w:tc>
      </w:tr>
      <w:tr>
        <w:tblPrEx>
          <w:tblCellMar>
            <w:top w:w="0" w:type="dxa"/>
            <w:left w:w="0" w:type="dxa"/>
            <w:bottom w:w="0" w:type="dxa"/>
            <w:right w:w="0" w:type="dxa"/>
          </w:tblCellMar>
        </w:tblPrEx>
        <w:trPr>
          <w:trHeight w:val="1313"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992" w:type="dxa"/>
            <w:vMerge w:val="continue"/>
            <w:tcBorders>
              <w:left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8.发挥领导干部带头尊法学法守法用法对全社会的示范带动作用，完善落实党委理论学习中心组学法、国家工作人员学法用法和重大事项决策法律咨询、审核等制度，健全完善相关考核评估机制，增强国家工作人员特别是各级领导干部依法办事的意识和能力。</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sz w:val="21"/>
                <w:szCs w:val="21"/>
              </w:rPr>
            </w:pPr>
            <w:r>
              <w:rPr>
                <w:rFonts w:hint="eastAsia" w:ascii="宋体" w:hAnsi="宋体" w:cs="宋体"/>
                <w:sz w:val="21"/>
                <w:szCs w:val="21"/>
              </w:rPr>
              <w:t>政法委办公室</w:t>
            </w:r>
          </w:p>
          <w:p>
            <w:pPr>
              <w:widowControl/>
              <w:spacing w:line="260" w:lineRule="exact"/>
              <w:jc w:val="center"/>
              <w:textAlignment w:val="center"/>
              <w:rPr>
                <w:rFonts w:ascii="宋体" w:hAnsi="宋体" w:cs="宋体"/>
                <w:sz w:val="21"/>
                <w:szCs w:val="21"/>
              </w:rPr>
            </w:pPr>
            <w:r>
              <w:rPr>
                <w:rFonts w:hint="eastAsia" w:ascii="宋体" w:hAnsi="宋体" w:cs="宋体"/>
                <w:sz w:val="21"/>
                <w:szCs w:val="21"/>
              </w:rPr>
              <w:t>检察室</w:t>
            </w:r>
          </w:p>
          <w:p>
            <w:pPr>
              <w:widowControl/>
              <w:spacing w:line="260" w:lineRule="exact"/>
              <w:jc w:val="center"/>
              <w:textAlignment w:val="center"/>
              <w:rPr>
                <w:rFonts w:ascii="宋体" w:hAnsi="宋体" w:cs="宋体"/>
                <w:sz w:val="21"/>
                <w:szCs w:val="21"/>
              </w:rPr>
            </w:pPr>
            <w:r>
              <w:rPr>
                <w:rFonts w:hint="eastAsia" w:ascii="宋体" w:hAnsi="宋体" w:cs="宋体"/>
                <w:sz w:val="21"/>
                <w:szCs w:val="21"/>
              </w:rPr>
              <w:t>社发局</w:t>
            </w:r>
          </w:p>
        </w:tc>
      </w:tr>
      <w:tr>
        <w:tblPrEx>
          <w:tblCellMar>
            <w:top w:w="0" w:type="dxa"/>
            <w:left w:w="0" w:type="dxa"/>
            <w:bottom w:w="0" w:type="dxa"/>
            <w:right w:w="0" w:type="dxa"/>
          </w:tblCellMar>
        </w:tblPrEx>
        <w:trPr>
          <w:trHeight w:val="1258"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1992"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9.加强青少年法治教育，全面落实《青少年法治教育大纲》，加强对教师的法治教育培训，配齐配强法治课教师、法治辅导员队伍，完善法治副校长制度，健全青少年参与法治实践机制。</w:t>
            </w:r>
          </w:p>
        </w:tc>
        <w:tc>
          <w:tcPr>
            <w:tcW w:w="192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党工委办公室  宣传部        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机关党委</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rPr>
          <w:trHeight w:val="1301" w:hRule="atLeast"/>
          <w:jc w:val="center"/>
        </w:trPr>
        <w:tc>
          <w:tcPr>
            <w:tcW w:w="1819" w:type="dxa"/>
            <w:vMerge w:val="restart"/>
            <w:tcBorders>
              <w:top w:val="single" w:color="auto" w:sz="4" w:space="0"/>
              <w:left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一、推动全社会增强法治观念</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（二）增强全民法治观念</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10.加强青少年法治教育，全面落实《青少年法治教育大纲》，加强对教师的法治教育培训，配齐配强法治课教师、法治辅导员队伍，完善法治副校长制度，健全青少年参与法治实践机制。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教卫局</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宣传部</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群团办</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1309"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24"/>
                <w:szCs w:val="24"/>
              </w:rPr>
            </w:pPr>
            <w:r>
              <w:rPr>
                <w:rFonts w:hint="eastAsia" w:ascii="宋体" w:hAnsi="宋体" w:cs="宋体"/>
                <w:sz w:val="24"/>
                <w:szCs w:val="24"/>
              </w:rPr>
              <w:t>11.运用新媒体新技术普法，借助“智慧普法”平台，充分利用我区媒体融合发展成果，通过短视频、H5、长图、动画等形式，分类分众精准制作内容生动、易于传播的新媒体普法产品。</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文旅局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rPr>
          <w:trHeight w:val="1650"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（三）健全普法责任制</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24"/>
                <w:szCs w:val="24"/>
              </w:rPr>
            </w:pPr>
            <w:r>
              <w:rPr>
                <w:rFonts w:hint="eastAsia" w:ascii="宋体" w:hAnsi="宋体" w:cs="宋体"/>
                <w:sz w:val="24"/>
                <w:szCs w:val="24"/>
              </w:rPr>
              <w:t>12.落实“谁执法谁普法”普法责任制，全区各级国家机关把普法纳入工作总体布局，制定本部门本单位普法规划和年度普法计划，完善普法责任制清单。坚持法治宣传教育与法治实践相结合，把案（事）件依法处理的过程变成普法公开课。</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依法治区办</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1405"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24"/>
                <w:szCs w:val="24"/>
              </w:rPr>
            </w:pPr>
            <w:r>
              <w:rPr>
                <w:rFonts w:hint="eastAsia" w:ascii="宋体" w:hAnsi="宋体" w:cs="宋体"/>
                <w:sz w:val="24"/>
                <w:szCs w:val="24"/>
              </w:rPr>
              <w:t>13.完善行政复议人员、行政执法人员、公共法律服务人员等以案释法制度，加强对行政相对人、利害关系人等法律法规和政策宣讲。</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公安分局</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rPr>
          <w:trHeight w:val="1403"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一、推动全社会增强法治观念</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（三）健全普法责任制</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14.引导社会各方面广泛参与立法，加强对上级新出台地方性法规和政府规章的解读。</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r>
      <w:tr>
        <w:tblPrEx>
          <w:tblCellMar>
            <w:top w:w="0" w:type="dxa"/>
            <w:left w:w="0" w:type="dxa"/>
            <w:bottom w:w="0" w:type="dxa"/>
            <w:right w:w="0" w:type="dxa"/>
          </w:tblCellMar>
        </w:tblPrEx>
        <w:trPr>
          <w:trHeight w:val="1253"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24"/>
                <w:szCs w:val="24"/>
              </w:rPr>
            </w:pPr>
            <w:r>
              <w:rPr>
                <w:rFonts w:hint="eastAsia" w:ascii="宋体" w:hAnsi="宋体" w:cs="宋体"/>
                <w:sz w:val="24"/>
                <w:szCs w:val="24"/>
              </w:rPr>
              <w:t>15.加强对社会热点案（事）件的法治解读评论，传播法治正能量。</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公安分局</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r>
      <w:tr>
        <w:tblPrEx>
          <w:tblCellMar>
            <w:top w:w="0" w:type="dxa"/>
            <w:left w:w="0" w:type="dxa"/>
            <w:bottom w:w="0" w:type="dxa"/>
            <w:right w:w="0" w:type="dxa"/>
          </w:tblCellMar>
        </w:tblPrEx>
        <w:trPr>
          <w:trHeight w:val="1996"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16.组织法律服务队伍为人民群众提供专业、精准、高效的法治宣传。注重发挥群团组织、行业协会、非公组织在全民普法中的重要作用，鼓励引导社会力量参与普法。加强普法志愿者协会建设，进一步健全机构组织和运行机制，不断培育壮大普法志愿者队伍，推动普法志愿服务常态化、制度化。</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区直各部门</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各人民团体</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1397"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24"/>
                <w:szCs w:val="24"/>
              </w:rPr>
            </w:pPr>
            <w:r>
              <w:rPr>
                <w:rFonts w:hint="eastAsia" w:ascii="宋体" w:hAnsi="宋体" w:cs="宋体"/>
                <w:sz w:val="24"/>
                <w:szCs w:val="24"/>
              </w:rPr>
              <w:t>17.健全媒体公益普法制度，借助报社、电台、电视台、网站、融媒体中心等媒体自觉履行普法职责，开展日常公益普法宣传教育。</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宣传部</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4923" w:type="dxa"/>
        <w:jc w:val="center"/>
        <w:tblLayout w:type="fixed"/>
        <w:tblCellMar>
          <w:top w:w="0" w:type="dxa"/>
          <w:left w:w="0" w:type="dxa"/>
          <w:bottom w:w="0" w:type="dxa"/>
          <w:right w:w="0" w:type="dxa"/>
        </w:tblCellMar>
      </w:tblPr>
      <w:tblGrid>
        <w:gridCol w:w="1819"/>
        <w:gridCol w:w="2409"/>
        <w:gridCol w:w="6011"/>
        <w:gridCol w:w="1513"/>
        <w:gridCol w:w="1862"/>
        <w:gridCol w:w="1309"/>
      </w:tblGrid>
      <w:tr>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60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86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19"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60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86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85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一、推动全社会增强法治观念</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sz w:val="24"/>
                <w:szCs w:val="24"/>
              </w:rPr>
            </w:pPr>
            <w:r>
              <w:rPr>
                <w:rFonts w:hint="eastAsia" w:ascii="宋体" w:hAnsi="宋体" w:cs="宋体"/>
                <w:sz w:val="24"/>
                <w:szCs w:val="24"/>
              </w:rPr>
              <w:t>（四）建设社会主义法治文化</w:t>
            </w:r>
          </w:p>
        </w:tc>
        <w:tc>
          <w:tcPr>
            <w:tcW w:w="601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18.丰富法治文化产品，培育法治文化精品，扩大法治文化的覆盖面和影响力。利用重大纪念日、传统节日、文化节日等契机开展群众性法治文化活动，组织普法志愿者、群众法治文艺团体开展法治文化进村屯活动，推动法治文化深入人心。</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c>
          <w:tcPr>
            <w:tcW w:w="18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宣传部</w:t>
            </w:r>
          </w:p>
          <w:p>
            <w:pPr>
              <w:widowControl/>
              <w:spacing w:line="300" w:lineRule="exact"/>
              <w:jc w:val="center"/>
              <w:rPr>
                <w:rFonts w:ascii="宋体" w:hAnsi="宋体" w:cs="宋体"/>
                <w:sz w:val="24"/>
                <w:szCs w:val="24"/>
              </w:rPr>
            </w:pPr>
            <w:r>
              <w:rPr>
                <w:rFonts w:hint="eastAsia" w:ascii="宋体" w:hAnsi="宋体" w:cs="宋体"/>
                <w:sz w:val="24"/>
                <w:szCs w:val="24"/>
              </w:rPr>
              <w:t>文旅局</w:t>
            </w:r>
          </w:p>
          <w:p>
            <w:pPr>
              <w:widowControl/>
              <w:spacing w:line="300" w:lineRule="exact"/>
              <w:jc w:val="center"/>
              <w:rPr>
                <w:rFonts w:ascii="宋体" w:hAnsi="宋体" w:cs="宋体"/>
                <w:sz w:val="24"/>
                <w:szCs w:val="24"/>
              </w:rPr>
            </w:pPr>
            <w:r>
              <w:rPr>
                <w:rFonts w:hint="eastAsia" w:ascii="宋体" w:hAnsi="宋体" w:cs="宋体"/>
                <w:sz w:val="24"/>
                <w:szCs w:val="24"/>
              </w:rPr>
              <w:t>群团办</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1552"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601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19.大力加强法治文化阵地建设，有效促进法治文化与传统文化、红色文化、地方文化、行业文化、企业文化融合发展。坚持“一乡（镇）一品牌”，分门别类打造法治公园、法治广场、法治长廊等法治文化阵地。</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8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r>
      <w:tr>
        <w:tblPrEx>
          <w:tblCellMar>
            <w:top w:w="0" w:type="dxa"/>
            <w:left w:w="0" w:type="dxa"/>
            <w:bottom w:w="0" w:type="dxa"/>
            <w:right w:w="0" w:type="dxa"/>
          </w:tblCellMar>
        </w:tblPrEx>
        <w:trPr>
          <w:trHeight w:val="1545" w:hRule="atLeast"/>
          <w:jc w:val="center"/>
        </w:trPr>
        <w:tc>
          <w:tcPr>
            <w:tcW w:w="181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p>
            <w:pPr>
              <w:widowControl/>
              <w:spacing w:line="300" w:lineRule="exact"/>
              <w:rPr>
                <w:rFonts w:ascii="楷体_GB2312" w:hAnsi="楷体_GB2312" w:eastAsia="楷体_GB2312" w:cs="楷体_GB2312"/>
                <w:b/>
                <w:sz w:val="24"/>
                <w:szCs w:val="24"/>
              </w:rPr>
            </w:pPr>
            <w:r>
              <w:rPr>
                <w:rFonts w:hint="eastAsia" w:ascii="楷体_GB2312" w:hAnsi="楷体_GB2312" w:eastAsia="楷体_GB2312" w:cs="楷体_GB2312"/>
                <w:b/>
                <w:sz w:val="24"/>
                <w:szCs w:val="24"/>
              </w:rPr>
              <w:t>二、健全社会领域制度规范</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（五）完善社会重要领域制度</w:t>
            </w:r>
          </w:p>
        </w:tc>
        <w:tc>
          <w:tcPr>
            <w:tcW w:w="601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kern w:val="0"/>
                <w:sz w:val="24"/>
                <w:szCs w:val="24"/>
              </w:rPr>
            </w:pPr>
            <w:r>
              <w:rPr>
                <w:rFonts w:hint="eastAsia" w:ascii="宋体" w:hAnsi="宋体" w:cs="宋体"/>
                <w:kern w:val="0"/>
                <w:sz w:val="24"/>
                <w:szCs w:val="24"/>
              </w:rPr>
              <w:t>20.完善教育、劳动就业、收入分配、社会保障、医疗卫生、食品药品、安全生产、道路交通、扶贫、慈善、社会救助、河湖管理等领域和退役军人、妇女、未成年人、老年人、残疾人正当权益保护等方面的政策措施，不断保障和改善民生。完善疫情防控以及社会组织、乡村社区、社会工作等方面的制度，进一步加强和创新社会治理。</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86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1"/>
                <w:szCs w:val="21"/>
              </w:rPr>
            </w:pPr>
            <w:r>
              <w:rPr>
                <w:rFonts w:hint="eastAsia" w:ascii="宋体" w:hAnsi="宋体" w:cs="宋体"/>
                <w:sz w:val="21"/>
                <w:szCs w:val="21"/>
              </w:rPr>
              <w:t>教卫局、人社局、市场监管分局、应急局、公安分局、交警大队、建委、水利</w:t>
            </w:r>
          </w:p>
          <w:p>
            <w:pPr>
              <w:widowControl/>
              <w:spacing w:line="300" w:lineRule="exact"/>
              <w:jc w:val="left"/>
              <w:rPr>
                <w:rFonts w:ascii="宋体" w:hAnsi="宋体" w:cs="宋体"/>
                <w:sz w:val="24"/>
                <w:szCs w:val="24"/>
              </w:rPr>
            </w:pPr>
            <w:r>
              <w:rPr>
                <w:rFonts w:hint="eastAsia" w:ascii="宋体" w:hAnsi="宋体" w:cs="宋体"/>
                <w:sz w:val="21"/>
                <w:szCs w:val="21"/>
              </w:rPr>
              <w:t>水务局、退役军人事务局、农业农村局、群团办、其他有关人民团体</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left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kern w:val="0"/>
                <w:sz w:val="24"/>
                <w:szCs w:val="24"/>
              </w:rPr>
            </w:pPr>
          </w:p>
          <w:p>
            <w:pPr>
              <w:widowControl/>
              <w:spacing w:line="300" w:lineRule="exact"/>
              <w:jc w:val="center"/>
              <w:textAlignment w:val="center"/>
              <w:rPr>
                <w:rFonts w:ascii="黑体" w:hAnsi="黑体" w:eastAsia="黑体" w:cs="楷体_GB2312"/>
                <w:b/>
                <w:kern w:val="0"/>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center"/>
              <w:textAlignment w:val="center"/>
              <w:rPr>
                <w:rFonts w:ascii="黑体" w:hAnsi="黑体" w:eastAsia="黑体" w:cs="宋体"/>
                <w:b/>
                <w:kern w:val="0"/>
                <w:sz w:val="24"/>
                <w:szCs w:val="24"/>
              </w:rPr>
            </w:pPr>
          </w:p>
        </w:tc>
        <w:tc>
          <w:tcPr>
            <w:tcW w:w="7080" w:type="dxa"/>
            <w:vMerge w:val="continue"/>
            <w:tcBorders>
              <w:left w:val="single" w:color="auto" w:sz="4" w:space="0"/>
              <w:right w:val="single" w:color="auto" w:sz="4" w:space="0"/>
            </w:tcBorders>
            <w:vAlign w:val="center"/>
          </w:tcPr>
          <w:p>
            <w:pPr>
              <w:widowControl/>
              <w:spacing w:line="300" w:lineRule="exact"/>
              <w:jc w:val="center"/>
              <w:textAlignment w:val="center"/>
              <w:rPr>
                <w:rFonts w:ascii="黑体" w:hAnsi="黑体" w:eastAsia="黑体" w:cs="宋体"/>
                <w:b/>
                <w:kern w:val="0"/>
                <w:sz w:val="24"/>
                <w:szCs w:val="24"/>
              </w:rPr>
            </w:pPr>
          </w:p>
        </w:tc>
        <w:tc>
          <w:tcPr>
            <w:tcW w:w="1513" w:type="dxa"/>
            <w:vMerge w:val="continue"/>
            <w:tcBorders>
              <w:left w:val="single" w:color="auto" w:sz="4" w:space="0"/>
              <w:right w:val="single" w:color="auto" w:sz="4" w:space="0"/>
            </w:tcBorders>
            <w:vAlign w:val="center"/>
          </w:tcPr>
          <w:p>
            <w:pPr>
              <w:widowControl/>
              <w:spacing w:line="300" w:lineRule="exact"/>
              <w:jc w:val="center"/>
              <w:textAlignment w:val="center"/>
              <w:rPr>
                <w:rFonts w:ascii="黑体" w:hAnsi="黑体" w:eastAsia="黑体" w:cs="宋体"/>
                <w:b/>
                <w:kern w:val="0"/>
                <w:sz w:val="24"/>
                <w:szCs w:val="24"/>
              </w:rPr>
            </w:pPr>
          </w:p>
        </w:tc>
        <w:tc>
          <w:tcPr>
            <w:tcW w:w="1570" w:type="dxa"/>
            <w:vMerge w:val="continue"/>
            <w:tcBorders>
              <w:left w:val="single" w:color="auto" w:sz="4" w:space="0"/>
              <w:right w:val="single" w:color="auto" w:sz="4" w:space="0"/>
            </w:tcBorders>
            <w:vAlign w:val="center"/>
          </w:tcPr>
          <w:p>
            <w:pPr>
              <w:widowControl/>
              <w:spacing w:line="300" w:lineRule="exact"/>
              <w:jc w:val="center"/>
              <w:textAlignment w:val="center"/>
              <w:rPr>
                <w:rFonts w:ascii="黑体" w:hAnsi="黑体" w:eastAsia="黑体" w:cs="宋体"/>
                <w:b/>
                <w:kern w:val="0"/>
                <w:sz w:val="24"/>
                <w:szCs w:val="24"/>
              </w:rPr>
            </w:pPr>
          </w:p>
        </w:tc>
        <w:tc>
          <w:tcPr>
            <w:tcW w:w="1309" w:type="dxa"/>
            <w:vMerge w:val="continue"/>
            <w:tcBorders>
              <w:left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p>
        </w:tc>
      </w:tr>
      <w:tr>
        <w:tblPrEx>
          <w:tblCellMar>
            <w:top w:w="0" w:type="dxa"/>
            <w:left w:w="0" w:type="dxa"/>
            <w:bottom w:w="0" w:type="dxa"/>
            <w:right w:w="0" w:type="dxa"/>
          </w:tblCellMar>
        </w:tblPrEx>
        <w:trPr>
          <w:trHeight w:val="3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378" w:hRule="atLeast"/>
          <w:jc w:val="center"/>
        </w:trPr>
        <w:tc>
          <w:tcPr>
            <w:tcW w:w="1819" w:type="dxa"/>
            <w:vMerge w:val="restart"/>
            <w:tcBorders>
              <w:top w:val="single" w:color="auto" w:sz="4" w:space="0"/>
              <w:left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二、健全社会领域制度规范</w:t>
            </w:r>
          </w:p>
        </w:tc>
        <w:tc>
          <w:tcPr>
            <w:tcW w:w="2409" w:type="dxa"/>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（五）完善社会重要领域制度</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24"/>
                <w:szCs w:val="24"/>
              </w:rPr>
            </w:pPr>
            <w:r>
              <w:rPr>
                <w:rFonts w:hint="eastAsia" w:ascii="宋体" w:hAnsi="宋体" w:cs="宋体"/>
                <w:sz w:val="24"/>
                <w:szCs w:val="24"/>
              </w:rPr>
              <w:t>21.把弘扬社会主义核心价值观要求融入法治建设和社会治理，加强见义勇为、敬业奉献、尊崇英烈、志愿服务、孝老爱亲、文明诚信等方面的制度建设。</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宣传部</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1"/>
                <w:szCs w:val="21"/>
              </w:rPr>
            </w:pPr>
            <w:r>
              <w:rPr>
                <w:rFonts w:hint="eastAsia" w:ascii="宋体" w:hAnsi="宋体" w:cs="宋体"/>
                <w:sz w:val="21"/>
                <w:szCs w:val="21"/>
              </w:rPr>
              <w:t>政法委办公室、检察室、公安分局、教卫局、退役军人事务局、群团办</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117" w:hRule="atLeast"/>
          <w:jc w:val="center"/>
        </w:trPr>
        <w:tc>
          <w:tcPr>
            <w:tcW w:w="1819" w:type="dxa"/>
            <w:vMerge w:val="continue"/>
            <w:tcBorders>
              <w:left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（六）促进社会规范建设</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24"/>
                <w:szCs w:val="24"/>
              </w:rPr>
            </w:pPr>
            <w:r>
              <w:rPr>
                <w:rFonts w:hint="eastAsia" w:ascii="宋体" w:hAnsi="宋体" w:cs="宋体"/>
                <w:sz w:val="24"/>
                <w:szCs w:val="24"/>
              </w:rPr>
              <w:t>22.加强居民公约、村规民约、行业规章、社会组织章程等社会规范建设，推动社会成员自我约束、自我管理、自我规范。按照国家有关要求，结合村“两委”换届和乡村振兴工作，指导督促各乡镇修订完善居民公约、村规民约。依法做好社会组织章程审查核准工作。</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sz w:val="21"/>
                <w:szCs w:val="21"/>
              </w:rPr>
            </w:pPr>
            <w:r>
              <w:rPr>
                <w:rFonts w:hint="eastAsia" w:ascii="宋体" w:hAnsi="宋体" w:cs="宋体"/>
                <w:sz w:val="21"/>
                <w:szCs w:val="21"/>
              </w:rPr>
              <w:t>政法委办公室、农业农村局、工商联、群团办</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2266"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（七）加强道德规范建设</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23.推进社会公德、职业道德建设，深入开展家庭美德和个人品德教育，增强法治的道德底蕴。深入开展道德领域突出问题专项教育和治理，依法惩处公德失范的违法行为。落实《新时代公民道德建设实施纲要》和《吉林省新时代公民道德建设行动方案》、《长春市文明行为促进条例》，全面提升公民道德素质和社会文明程度。倡导科学文明的生活方式，革除滥食野生动物陋习，增强公民公共卫生安全和疫病防治意识。</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1"/>
                <w:szCs w:val="21"/>
              </w:rPr>
            </w:pPr>
            <w:r>
              <w:rPr>
                <w:rFonts w:hint="eastAsia" w:ascii="宋体" w:hAnsi="宋体" w:cs="宋体"/>
                <w:sz w:val="21"/>
                <w:szCs w:val="21"/>
              </w:rPr>
              <w:t>政法委办公室、教卫局、群团办</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266"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pacing w:val="-2"/>
                <w:sz w:val="24"/>
                <w:szCs w:val="24"/>
              </w:rPr>
            </w:pPr>
            <w:r>
              <w:rPr>
                <w:rFonts w:hint="eastAsia" w:ascii="宋体" w:hAnsi="宋体" w:cs="宋体"/>
                <w:spacing w:val="-2"/>
                <w:sz w:val="24"/>
                <w:szCs w:val="24"/>
              </w:rPr>
              <w:t>24.强化道德规范的教育、评价、监督等功能，努力形成良好的社会风尚和社会秩序。开展“道德模范”、“文明家庭”等评选活动，治理“野广告”、随手捡垃圾等文明实践活动，打造莲花山文明品牌。</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1"/>
                <w:szCs w:val="21"/>
              </w:rPr>
            </w:pPr>
            <w:r>
              <w:rPr>
                <w:rFonts w:hint="eastAsia" w:ascii="宋体" w:hAnsi="宋体" w:cs="宋体"/>
                <w:sz w:val="21"/>
                <w:szCs w:val="21"/>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485"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二、健全社会领域制度规范</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（八）推进社会诚信建设</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kern w:val="0"/>
                <w:sz w:val="24"/>
                <w:szCs w:val="24"/>
              </w:rPr>
            </w:pPr>
            <w:r>
              <w:rPr>
                <w:rFonts w:hint="eastAsia" w:ascii="宋体" w:hAnsi="宋体" w:cs="宋体"/>
                <w:kern w:val="0"/>
                <w:sz w:val="24"/>
                <w:szCs w:val="24"/>
              </w:rPr>
              <w:t>25.完善企业社会责任法律制度，增强企业社会责任意识，促进企业诚实守信、合法经营。</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国资委</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政数局</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工商联</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r>
      <w:tr>
        <w:trPr>
          <w:trHeight w:val="175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kern w:val="0"/>
                <w:sz w:val="24"/>
                <w:szCs w:val="24"/>
              </w:rPr>
            </w:pPr>
            <w:r>
              <w:rPr>
                <w:rFonts w:hint="eastAsia" w:ascii="宋体" w:hAnsi="宋体" w:cs="宋体"/>
                <w:kern w:val="0"/>
                <w:sz w:val="24"/>
                <w:szCs w:val="24"/>
              </w:rPr>
              <w:t>26.健全公民和组织守法信用记录，建立以公民身份证号码和组织机构代码为基础的统一社会信用代码制度。完善诚信建设长效机制，健全覆盖全社会的征信体系，建立失信惩戒制度。建立信用修复机制和异议申诉制度，鼓励和引导失信主体主动纠正违法失信行为。加强行业协会商会诚信建设，完善诚信管理和诚信自律机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政数局</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市场监管分局金融办</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社会信用体系建设工作领导小组成员单位</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r>
      <w:tr>
        <w:trPr>
          <w:trHeight w:val="2406"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480" w:firstLineChars="200"/>
              <w:jc w:val="left"/>
              <w:rPr>
                <w:rFonts w:ascii="宋体" w:hAnsi="宋体" w:cs="宋体"/>
                <w:kern w:val="0"/>
                <w:sz w:val="24"/>
                <w:szCs w:val="24"/>
              </w:rPr>
            </w:pPr>
            <w:r>
              <w:rPr>
                <w:rFonts w:hint="eastAsia" w:ascii="宋体" w:hAnsi="宋体" w:cs="宋体"/>
                <w:kern w:val="0"/>
                <w:sz w:val="24"/>
                <w:szCs w:val="24"/>
              </w:rPr>
              <w:t>27.完善莲花山度假区信用信息共享平台和企业信用信息公示系统，进一步强化和规范信用信息归集共享，依法依规在信用网站公开。加强诚信理念宣传教育，组织诚信主题实践活动，为社会信用体系建设创造良好环境。依托金融机构开展形式多样的宣传教育活动，逐步提升社会公众的诚信意识。</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政数局     金融办</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社会信用体系建设工作领导小组成员单位</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801"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三、加强权利保护</w:t>
            </w:r>
            <w:r>
              <w:rPr>
                <w:rFonts w:hint="eastAsia" w:ascii="楷体_GB2312" w:hAnsi="楷体_GB2312" w:eastAsia="楷体_GB2312" w:cs="楷体_GB2312"/>
                <w:b/>
                <w:sz w:val="24"/>
                <w:szCs w:val="24"/>
              </w:rPr>
              <w:tab/>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（九）健全公众参与重大公共决策机制</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28.落实法律顾问、公职律师在重大公共决策中发挥积极作用的制度机制。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rPr>
          <w:trHeight w:val="1076"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29.健全企业、职工、行业协会商会等参与涉企法规及政策制定机制，依法平等保护企业、职工合法权益。</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kern w:val="0"/>
                <w:sz w:val="24"/>
                <w:szCs w:val="24"/>
              </w:rPr>
            </w:pPr>
            <w:r>
              <w:rPr>
                <w:rFonts w:hint="eastAsia" w:ascii="宋体" w:hAnsi="宋体" w:cs="宋体"/>
                <w:kern w:val="0"/>
                <w:sz w:val="24"/>
                <w:szCs w:val="24"/>
              </w:rPr>
              <w:t>社发局、国资委、群团办、工商联</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kern w:val="0"/>
                <w:sz w:val="24"/>
                <w:szCs w:val="24"/>
              </w:rPr>
            </w:pPr>
            <w:r>
              <w:rPr>
                <w:rFonts w:hint="eastAsia" w:ascii="宋体" w:hAnsi="宋体" w:cs="宋体"/>
                <w:kern w:val="0"/>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105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（十）保障行政执法中当事人合法权益</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30.规范执法行为，全面落实行政执法公示制度、执法全过程记录制度、重大执法决定法制审核制度，完善执法程序，改进执法方式，尊重和维护群众合法权益。</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92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31.建立健全产权保护统筹协调工作机制，持续加强政务诚信和营商环境建设，将产权保护列为专项治理、信用示范、区域创建、营商环境建设的重要内容。完善知识产权维权援助工作机制，推动维权援助服务进重点产业园区、进企业创新基地等。</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政法委办公室、发改局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sz w:val="24"/>
                <w:szCs w:val="24"/>
              </w:rPr>
            </w:pPr>
            <w:r>
              <w:rPr>
                <w:rFonts w:hint="eastAsia" w:ascii="宋体" w:hAnsi="宋体" w:cs="宋体"/>
                <w:sz w:val="24"/>
                <w:szCs w:val="24"/>
              </w:rPr>
              <w:t>公安分局、社发局、规自分局、国资委、市场监管分局、工商联</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rPr>
          <w:trHeight w:val="1191"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32.推进政府信息公开，涉及公民、法人或其他组织权利和义务的行政规范性文件、行政许可决定、行政处罚决定、行政强制决定、行政征收决定等，依法予以公开。</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政数局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pStyle w:val="2"/>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785"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三、加强权利保护</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（十一）加强人权司法保障</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33.加强对公民合法权益的司法保护。加大涉民生案件查办力度，保障人民群众合法权益。健全执行工作长效机制，依法保障胜诉当事人及时实现合法权益。妥善审理好住房、教育、医疗等重点领域民生案件，进一步完善民生司法保护机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60" w:firstLineChars="150"/>
              <w:rPr>
                <w:rFonts w:ascii="宋体" w:hAnsi="宋体" w:cs="宋体"/>
                <w:sz w:val="24"/>
                <w:szCs w:val="24"/>
              </w:rPr>
            </w:pPr>
            <w:r>
              <w:rPr>
                <w:rFonts w:hint="eastAsia" w:ascii="宋体" w:hAnsi="宋体" w:cs="宋体"/>
                <w:sz w:val="24"/>
                <w:szCs w:val="24"/>
              </w:rPr>
              <w:t>检察室</w:t>
            </w:r>
          </w:p>
          <w:p>
            <w:pPr>
              <w:widowControl/>
              <w:spacing w:line="300" w:lineRule="exact"/>
              <w:jc w:val="center"/>
              <w:rPr>
                <w:rFonts w:ascii="宋体" w:hAnsi="宋体" w:cs="宋体"/>
                <w:sz w:val="24"/>
                <w:szCs w:val="24"/>
              </w:rPr>
            </w:pPr>
            <w:r>
              <w:rPr>
                <w:rFonts w:hint="eastAsia" w:ascii="宋体" w:hAnsi="宋体" w:cs="宋体"/>
                <w:sz w:val="24"/>
                <w:szCs w:val="24"/>
              </w:rPr>
              <w:t>公安分局</w:t>
            </w:r>
          </w:p>
          <w:p>
            <w:pPr>
              <w:widowControl/>
              <w:spacing w:line="300" w:lineRule="exact"/>
              <w:jc w:val="center"/>
              <w:rPr>
                <w:rFonts w:ascii="宋体" w:hAnsi="宋体" w:cs="宋体"/>
                <w:sz w:val="24"/>
                <w:szCs w:val="24"/>
              </w:rPr>
            </w:pPr>
            <w:r>
              <w:rPr>
                <w:rFonts w:hint="eastAsia" w:ascii="宋体" w:hAnsi="宋体" w:cs="宋体"/>
                <w:sz w:val="24"/>
                <w:szCs w:val="24"/>
              </w:rPr>
              <w:t>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1506"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34.强化诉讼参与人诉讼权利制度保障，加强对非法取证行为的源头预防，严格执行非法证据排除规则，建立健全案件纠错机制，有效防范和纠正冤假错案。</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检察室</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公安分局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r>
      <w:tr>
        <w:tblPrEx>
          <w:tblCellMar>
            <w:top w:w="0" w:type="dxa"/>
            <w:left w:w="0" w:type="dxa"/>
            <w:bottom w:w="0" w:type="dxa"/>
            <w:right w:w="0" w:type="dxa"/>
          </w:tblCellMar>
        </w:tblPrEx>
        <w:trPr>
          <w:trHeight w:val="1209"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35.加强检察机关对民事、行政、刑事诉讼活动的法律监督，在司法调解、司法听证等司法活动中保障人民群众参与。积极拓宽案件线索来源渠道，规范监督程序。坚持对事监督与对人监督相结合，促进监督事项向更深层次延伸。</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r>
      <w:tr>
        <w:tblPrEx>
          <w:tblCellMar>
            <w:top w:w="0" w:type="dxa"/>
            <w:left w:w="0" w:type="dxa"/>
            <w:bottom w:w="0" w:type="dxa"/>
            <w:right w:w="0" w:type="dxa"/>
          </w:tblCellMar>
        </w:tblPrEx>
        <w:trPr>
          <w:trHeight w:val="1556"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36.畅通公民权利救济渠道，加强法律援助，保障困难群体、特殊群众的合法权益。探索引入社会资金开展司法救助，让人民群众更充分感受到司法公正。</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检察室</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公安分局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940" w:type="dxa"/>
        <w:jc w:val="center"/>
        <w:tblLayout w:type="fixed"/>
        <w:tblCellMar>
          <w:top w:w="0" w:type="dxa"/>
          <w:left w:w="0" w:type="dxa"/>
          <w:bottom w:w="0" w:type="dxa"/>
          <w:right w:w="0" w:type="dxa"/>
        </w:tblCellMar>
      </w:tblPr>
      <w:tblGrid>
        <w:gridCol w:w="2059"/>
        <w:gridCol w:w="2409"/>
        <w:gridCol w:w="7080"/>
        <w:gridCol w:w="1513"/>
        <w:gridCol w:w="1570"/>
        <w:gridCol w:w="1309"/>
      </w:tblGrid>
      <w:tr>
        <w:tblPrEx>
          <w:tblCellMar>
            <w:top w:w="0" w:type="dxa"/>
            <w:left w:w="0" w:type="dxa"/>
            <w:bottom w:w="0" w:type="dxa"/>
            <w:right w:w="0" w:type="dxa"/>
          </w:tblCellMar>
        </w:tblPrEx>
        <w:trPr>
          <w:trHeight w:val="804" w:hRule="atLeast"/>
          <w:jc w:val="center"/>
        </w:trPr>
        <w:tc>
          <w:tcPr>
            <w:tcW w:w="2059" w:type="dxa"/>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黑体" w:hAnsi="黑体" w:eastAsia="黑体" w:cs="宋体"/>
                <w:b/>
                <w:kern w:val="0"/>
                <w:sz w:val="24"/>
                <w:szCs w:val="24"/>
              </w:rPr>
            </w:pPr>
            <w:r>
              <w:rPr>
                <w:rFonts w:hint="eastAsia" w:ascii="黑体" w:hAnsi="黑体" w:eastAsia="黑体" w:cs="宋体"/>
                <w:b/>
                <w:kern w:val="0"/>
                <w:sz w:val="24"/>
                <w:szCs w:val="24"/>
              </w:rPr>
              <w:t>重点工作</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875" w:hRule="atLeast"/>
          <w:jc w:val="center"/>
        </w:trPr>
        <w:tc>
          <w:tcPr>
            <w:tcW w:w="2059" w:type="dxa"/>
            <w:vMerge w:val="restart"/>
            <w:tcBorders>
              <w:top w:val="single" w:color="auto" w:sz="4" w:space="0"/>
              <w:left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楷体_GB2312" w:hAnsi="楷体_GB2312" w:eastAsia="楷体_GB2312" w:cs="楷体_GB2312"/>
                <w:b/>
                <w:sz w:val="24"/>
                <w:szCs w:val="24"/>
              </w:rPr>
              <w:t>三、加强权利保护</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（十二）为群众提供便捷高效的公共法律服务</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37.完善公共法律服务管理体制和工作机制，推进公共法律服务标准化、规范化、精准化，有效满足人民群众日益增长的高品质、多元化法律服务需求。</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r>
      <w:tr>
        <w:tblPrEx>
          <w:tblCellMar>
            <w:top w:w="0" w:type="dxa"/>
            <w:left w:w="0" w:type="dxa"/>
            <w:bottom w:w="0" w:type="dxa"/>
            <w:right w:w="0" w:type="dxa"/>
          </w:tblCellMar>
        </w:tblPrEx>
        <w:trPr>
          <w:trHeight w:val="548" w:hRule="atLeast"/>
          <w:jc w:val="center"/>
        </w:trPr>
        <w:tc>
          <w:tcPr>
            <w:tcW w:w="2059" w:type="dxa"/>
            <w:vMerge w:val="continue"/>
            <w:tcBorders>
              <w:left w:val="single" w:color="auto" w:sz="4" w:space="0"/>
              <w:right w:val="single" w:color="auto" w:sz="4" w:space="0"/>
            </w:tcBorders>
          </w:tcPr>
          <w:p>
            <w:pPr>
              <w:widowControl/>
              <w:spacing w:line="300" w:lineRule="exact"/>
              <w:jc w:val="center"/>
              <w:textAlignment w:val="center"/>
              <w:rPr>
                <w:rFonts w:ascii="宋体" w:hAnsi="宋体" w:cs="宋体"/>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38.健全村（居）法律顾问制度，充分发挥村（居）法律顾问作用。</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农业农村局、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784" w:hRule="atLeast"/>
          <w:jc w:val="center"/>
        </w:trPr>
        <w:tc>
          <w:tcPr>
            <w:tcW w:w="2059" w:type="dxa"/>
            <w:vMerge w:val="continue"/>
            <w:tcBorders>
              <w:left w:val="single" w:color="auto" w:sz="4" w:space="0"/>
              <w:right w:val="single" w:color="auto" w:sz="4" w:space="0"/>
            </w:tcBorders>
          </w:tcPr>
          <w:p>
            <w:pPr>
              <w:widowControl/>
              <w:spacing w:line="300" w:lineRule="exact"/>
              <w:jc w:val="center"/>
              <w:textAlignment w:val="center"/>
              <w:rPr>
                <w:rFonts w:ascii="宋体" w:hAnsi="宋体" w:cs="宋体"/>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39.加强公共法律服务实体、热线、网络三大平台建设，推动公共法律服务与科技创新手段深度融合，尽快建成覆盖全业务、全时空的公共法律服务网络。</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政数局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570" w:hRule="atLeast"/>
          <w:jc w:val="center"/>
        </w:trPr>
        <w:tc>
          <w:tcPr>
            <w:tcW w:w="2059" w:type="dxa"/>
            <w:vMerge w:val="continue"/>
            <w:tcBorders>
              <w:left w:val="single" w:color="auto" w:sz="4" w:space="0"/>
              <w:right w:val="single" w:color="auto" w:sz="4" w:space="0"/>
            </w:tcBorders>
          </w:tcPr>
          <w:p>
            <w:pPr>
              <w:widowControl/>
              <w:spacing w:line="300" w:lineRule="exact"/>
              <w:jc w:val="left"/>
              <w:textAlignment w:val="center"/>
              <w:rPr>
                <w:rFonts w:ascii="宋体" w:hAnsi="宋体" w:cs="宋体"/>
                <w:sz w:val="24"/>
                <w:szCs w:val="24"/>
              </w:rPr>
            </w:pP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（十三）引导社会主体履行法定义务承担社会责任</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40.引导公民依法行使权利，理性表达诉求，自觉履行法定义务、社会责任和家庭责任。</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宣传部、 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536" w:hRule="atLeast"/>
          <w:jc w:val="center"/>
        </w:trPr>
        <w:tc>
          <w:tcPr>
            <w:tcW w:w="2059" w:type="dxa"/>
            <w:vMerge w:val="continue"/>
            <w:tcBorders>
              <w:left w:val="single" w:color="auto" w:sz="4" w:space="0"/>
              <w:right w:val="single" w:color="auto" w:sz="4" w:space="0"/>
            </w:tcBorders>
          </w:tcPr>
          <w:p>
            <w:pPr>
              <w:widowControl/>
              <w:spacing w:line="300" w:lineRule="exact"/>
              <w:jc w:val="left"/>
              <w:textAlignment w:val="center"/>
              <w:rPr>
                <w:rFonts w:ascii="宋体" w:hAnsi="宋体" w:cs="宋体"/>
                <w:kern w:val="0"/>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41.强化政策引领，为企业更好履行社会责任营造良好环境，推动企业与社会建立良好的互助互信关系。</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r>
      <w:tr>
        <w:tblPrEx>
          <w:tblCellMar>
            <w:top w:w="0" w:type="dxa"/>
            <w:left w:w="0" w:type="dxa"/>
            <w:bottom w:w="0" w:type="dxa"/>
            <w:right w:w="0" w:type="dxa"/>
          </w:tblCellMar>
        </w:tblPrEx>
        <w:trPr>
          <w:trHeight w:val="1007" w:hRule="atLeast"/>
          <w:jc w:val="center"/>
        </w:trPr>
        <w:tc>
          <w:tcPr>
            <w:tcW w:w="2059" w:type="dxa"/>
            <w:vMerge w:val="continue"/>
            <w:tcBorders>
              <w:left w:val="single" w:color="auto" w:sz="4" w:space="0"/>
              <w:bottom w:val="single" w:color="auto" w:sz="4" w:space="0"/>
              <w:right w:val="single" w:color="auto" w:sz="4" w:space="0"/>
            </w:tcBorders>
          </w:tcPr>
          <w:p>
            <w:pPr>
              <w:widowControl/>
              <w:spacing w:line="300" w:lineRule="exact"/>
              <w:jc w:val="left"/>
              <w:textAlignment w:val="center"/>
              <w:rPr>
                <w:rFonts w:ascii="宋体" w:hAnsi="宋体" w:cs="宋体"/>
                <w:kern w:val="0"/>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42.加强社会组织诚信自律建设，支持社会组织建立社会责任标准体系，完善政府购买社会组织服务机制，引导社会资源向积极履行社会责任的社会组织倾斜。</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r>
      <w:tr>
        <w:tblPrEx>
          <w:tblCellMar>
            <w:top w:w="0" w:type="dxa"/>
            <w:left w:w="0" w:type="dxa"/>
            <w:bottom w:w="0" w:type="dxa"/>
            <w:right w:w="0" w:type="dxa"/>
          </w:tblCellMar>
        </w:tblPrEx>
        <w:trPr>
          <w:trHeight w:val="1684" w:hRule="atLeast"/>
          <w:jc w:val="center"/>
        </w:trPr>
        <w:tc>
          <w:tcPr>
            <w:tcW w:w="20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楷体_GB2312" w:hAnsi="楷体_GB2312" w:eastAsia="楷体_GB2312" w:cs="楷体_GB2312"/>
                <w:b/>
                <w:sz w:val="24"/>
                <w:szCs w:val="24"/>
              </w:rPr>
              <w:t>四、推进社会治理法治化</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（十四）完善社会治理体制机制</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pacing w:val="-2"/>
                <w:sz w:val="24"/>
                <w:szCs w:val="24"/>
              </w:rPr>
            </w:pPr>
            <w:r>
              <w:rPr>
                <w:rFonts w:hint="eastAsia" w:ascii="宋体" w:hAnsi="宋体" w:cs="宋体"/>
                <w:spacing w:val="-2"/>
                <w:sz w:val="24"/>
                <w:szCs w:val="24"/>
              </w:rPr>
              <w:t>43.完善党委领导、政府负责、民主协商、社会协同、公众参与、法治保障、科技支撑的社会治理体系，打造共建共治共享的社会治理格局。健全党委总揽全局、协调各方领导机制，完善政府社会治理考核问责机制，建设人人有责、人人尽责、人人享有的社会治理共同体。加强社会治理制度建设，推进社会治理制度化、规范化、程序化。</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259"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四、推进社会治理法治化</w:t>
            </w: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（十五）推进多层次多领域依法治理</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44.推进市域治理创新，依法加快实名登记、社会信用管理、产权保护等配套制度建设，开展市域社会治理现代化试点，使法治成为市域经济社会发展的核心竞争力。</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r>
        <w:tblPrEx>
          <w:tblCellMar>
            <w:top w:w="0" w:type="dxa"/>
            <w:left w:w="0" w:type="dxa"/>
            <w:bottom w:w="0" w:type="dxa"/>
            <w:right w:w="0" w:type="dxa"/>
          </w:tblCellMar>
        </w:tblPrEx>
        <w:trPr>
          <w:trHeight w:val="977"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45.度假区职能部门、乡镇政府按照减负赋能原则，制定和落实在社区治理方面的权责清单。</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r>
      <w:tr>
        <w:tblPrEx>
          <w:tblCellMar>
            <w:top w:w="0" w:type="dxa"/>
            <w:left w:w="0" w:type="dxa"/>
            <w:bottom w:w="0" w:type="dxa"/>
            <w:right w:w="0" w:type="dxa"/>
          </w:tblCellMar>
        </w:tblPrEx>
        <w:trPr>
          <w:trHeight w:val="186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46.健全村级议事协商制度，鼓励村屯开展村民说事、民情恳谈等活动。实施村级事务阳光工程，完善党务、村务、财务“三公开”制度，梳理村级事务公开清单，推广村级事务“阳光公开”监管平台。推动村级重要事项、重大问题由村党组织研究讨论，巩固和加强村党组织领导核心地位，提升村党组织领导乡村治理能力。</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党工委办公室、社发局、农业农村局</w:t>
            </w:r>
          </w:p>
        </w:tc>
      </w:tr>
      <w:tr>
        <w:tblPrEx>
          <w:tblCellMar>
            <w:top w:w="0" w:type="dxa"/>
            <w:left w:w="0" w:type="dxa"/>
            <w:bottom w:w="0" w:type="dxa"/>
            <w:right w:w="0" w:type="dxa"/>
          </w:tblCellMar>
        </w:tblPrEx>
        <w:trPr>
          <w:trHeight w:val="1838"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 xml:space="preserve">47.全面加强法治乡村建设，规范涉农行政执法司法行为，严厉打击涉农违法犯罪活动，强化乡村司法保障。推进乡村依法治理，深化法治乡村示范创建活动，深化村（社区）法律顾问制度，实施农村“法律明白人”培养工程，推进乡村法治文化阵地建设。 </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农业农村局、社发局、公安分局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9"/>
        <w:gridCol w:w="2409"/>
        <w:gridCol w:w="7080"/>
        <w:gridCol w:w="1513"/>
        <w:gridCol w:w="157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819" w:type="dxa"/>
            <w:vMerge w:val="restart"/>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819" w:type="dxa"/>
            <w:vMerge w:val="continue"/>
            <w:vAlign w:val="center"/>
          </w:tcPr>
          <w:p>
            <w:pPr>
              <w:widowControl/>
              <w:spacing w:line="300" w:lineRule="exact"/>
              <w:rPr>
                <w:rFonts w:ascii="楷体_GB2312" w:hAnsi="楷体_GB2312" w:eastAsia="楷体_GB2312" w:cs="楷体_GB2312"/>
                <w:b/>
                <w:sz w:val="24"/>
                <w:szCs w:val="24"/>
              </w:rPr>
            </w:pPr>
          </w:p>
        </w:tc>
        <w:tc>
          <w:tcPr>
            <w:tcW w:w="2409" w:type="dxa"/>
            <w:vMerge w:val="continue"/>
            <w:vAlign w:val="center"/>
          </w:tcPr>
          <w:p>
            <w:pPr>
              <w:widowControl/>
              <w:spacing w:line="300" w:lineRule="exact"/>
              <w:jc w:val="center"/>
              <w:rPr>
                <w:rFonts w:ascii="宋体" w:hAnsi="宋体" w:cs="宋体"/>
                <w:b/>
                <w:sz w:val="24"/>
                <w:szCs w:val="24"/>
              </w:rPr>
            </w:pPr>
          </w:p>
        </w:tc>
        <w:tc>
          <w:tcPr>
            <w:tcW w:w="7080" w:type="dxa"/>
            <w:vMerge w:val="continue"/>
            <w:vAlign w:val="center"/>
          </w:tcPr>
          <w:p>
            <w:pPr>
              <w:widowControl/>
              <w:spacing w:line="300" w:lineRule="exact"/>
              <w:jc w:val="center"/>
              <w:rPr>
                <w:rFonts w:ascii="宋体" w:hAnsi="宋体" w:cs="宋体"/>
                <w:b/>
                <w:sz w:val="24"/>
                <w:szCs w:val="24"/>
              </w:rPr>
            </w:pPr>
          </w:p>
        </w:tc>
        <w:tc>
          <w:tcPr>
            <w:tcW w:w="1513" w:type="dxa"/>
            <w:vMerge w:val="continue"/>
            <w:vAlign w:val="center"/>
          </w:tcPr>
          <w:p>
            <w:pPr>
              <w:widowControl/>
              <w:spacing w:line="300" w:lineRule="exact"/>
              <w:jc w:val="center"/>
              <w:rPr>
                <w:rFonts w:ascii="宋体" w:hAnsi="宋体" w:cs="宋体"/>
                <w:b/>
                <w:sz w:val="24"/>
                <w:szCs w:val="24"/>
              </w:rPr>
            </w:pPr>
          </w:p>
        </w:tc>
        <w:tc>
          <w:tcPr>
            <w:tcW w:w="1570" w:type="dxa"/>
            <w:vMerge w:val="continue"/>
            <w:vAlign w:val="center"/>
          </w:tcPr>
          <w:p>
            <w:pPr>
              <w:widowControl/>
              <w:spacing w:line="300" w:lineRule="exact"/>
              <w:jc w:val="center"/>
              <w:rPr>
                <w:rFonts w:ascii="宋体" w:hAnsi="宋体" w:cs="宋体"/>
                <w:b/>
                <w:sz w:val="24"/>
                <w:szCs w:val="24"/>
              </w:rPr>
            </w:pPr>
          </w:p>
        </w:tc>
        <w:tc>
          <w:tcPr>
            <w:tcW w:w="1309" w:type="dxa"/>
            <w:vMerge w:val="continue"/>
            <w:vAlign w:val="center"/>
          </w:tcPr>
          <w:p>
            <w:pPr>
              <w:widowControl/>
              <w:spacing w:line="300" w:lineRule="exact"/>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jc w:val="center"/>
        </w:trPr>
        <w:tc>
          <w:tcPr>
            <w:tcW w:w="1819" w:type="dxa"/>
            <w:vMerge w:val="restart"/>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四、推进社会治理法治化</w:t>
            </w:r>
          </w:p>
        </w:tc>
        <w:tc>
          <w:tcPr>
            <w:tcW w:w="2409" w:type="dxa"/>
            <w:vMerge w:val="restart"/>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（十五）推进多层次多领域依法治理</w:t>
            </w:r>
          </w:p>
        </w:tc>
        <w:tc>
          <w:tcPr>
            <w:tcW w:w="7080" w:type="dxa"/>
            <w:vAlign w:val="center"/>
          </w:tcPr>
          <w:p>
            <w:pPr>
              <w:spacing w:line="300" w:lineRule="exact"/>
              <w:ind w:firstLine="480" w:firstLineChars="200"/>
              <w:rPr>
                <w:rFonts w:ascii="宋体" w:hAnsi="宋体" w:cs="宋体"/>
                <w:sz w:val="24"/>
                <w:szCs w:val="24"/>
              </w:rPr>
            </w:pPr>
            <w:r>
              <w:rPr>
                <w:rFonts w:hint="eastAsia" w:ascii="宋体" w:hAnsi="宋体" w:cs="宋体"/>
                <w:sz w:val="24"/>
                <w:szCs w:val="24"/>
              </w:rPr>
              <w:t>48.全面推进基层单位依法治理，企业、学校等基层单位建立运用法治方式解决问题的平台和机制。广泛开展行业依法治理，推进业务标准程序完善、合法合规审查到位、防范化解风险及时和法律监督有效的法治化治理方式。加强基层群众性自治组织规范化建设。</w:t>
            </w:r>
          </w:p>
        </w:tc>
        <w:tc>
          <w:tcPr>
            <w:tcW w:w="1513" w:type="dxa"/>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政法委办公室、教卫局、公安分局、国资委</w:t>
            </w:r>
          </w:p>
        </w:tc>
        <w:tc>
          <w:tcPr>
            <w:tcW w:w="1309" w:type="dxa"/>
            <w:vAlign w:val="center"/>
          </w:tcPr>
          <w:p>
            <w:pPr>
              <w:widowControl/>
              <w:spacing w:line="300" w:lineRule="exact"/>
              <w:jc w:val="center"/>
              <w:textAlignment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2" w:hRule="atLeast"/>
          <w:jc w:val="center"/>
        </w:trPr>
        <w:tc>
          <w:tcPr>
            <w:tcW w:w="1819" w:type="dxa"/>
            <w:vMerge w:val="continue"/>
            <w:vAlign w:val="center"/>
          </w:tcPr>
          <w:p>
            <w:pPr>
              <w:widowControl/>
              <w:spacing w:line="300" w:lineRule="exact"/>
              <w:textAlignment w:val="center"/>
              <w:rPr>
                <w:rFonts w:ascii="楷体_GB2312" w:hAnsi="楷体_GB2312" w:eastAsia="楷体_GB2312" w:cs="楷体_GB2312"/>
                <w:b/>
                <w:sz w:val="24"/>
                <w:szCs w:val="24"/>
              </w:rPr>
            </w:pPr>
          </w:p>
        </w:tc>
        <w:tc>
          <w:tcPr>
            <w:tcW w:w="2409" w:type="dxa"/>
            <w:vMerge w:val="continue"/>
            <w:vAlign w:val="center"/>
          </w:tcPr>
          <w:p>
            <w:pPr>
              <w:widowControl/>
              <w:spacing w:line="300" w:lineRule="exact"/>
              <w:jc w:val="left"/>
              <w:textAlignment w:val="center"/>
              <w:rPr>
                <w:rFonts w:ascii="宋体" w:hAnsi="宋体" w:cs="宋体"/>
                <w:sz w:val="24"/>
                <w:szCs w:val="24"/>
              </w:rPr>
            </w:pPr>
          </w:p>
        </w:tc>
        <w:tc>
          <w:tcPr>
            <w:tcW w:w="7080" w:type="dxa"/>
            <w:vAlign w:val="center"/>
          </w:tcPr>
          <w:p>
            <w:pPr>
              <w:spacing w:line="300" w:lineRule="exact"/>
              <w:rPr>
                <w:rFonts w:ascii="宋体" w:hAnsi="宋体" w:cs="宋体"/>
                <w:sz w:val="24"/>
                <w:szCs w:val="24"/>
              </w:rPr>
            </w:pPr>
            <w:r>
              <w:rPr>
                <w:rFonts w:hint="eastAsia" w:ascii="宋体" w:hAnsi="宋体" w:cs="宋体"/>
                <w:sz w:val="24"/>
                <w:szCs w:val="24"/>
              </w:rPr>
              <w:t>49.依法妥善处置涉及民族、宗教等因素的社会问题，促进民族关系、宗教关系和谐。健全完善民族宗教工作机制，依法治理民族宗教事务，加强民族团结进步创建工作。建立民族宗教网络舆情协调处置机制，完善涉民族宗教因素引发网络舆情的工作预案。</w:t>
            </w:r>
          </w:p>
        </w:tc>
        <w:tc>
          <w:tcPr>
            <w:tcW w:w="1513" w:type="dxa"/>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区直各部门</w:t>
            </w:r>
          </w:p>
        </w:tc>
        <w:tc>
          <w:tcPr>
            <w:tcW w:w="1309" w:type="dxa"/>
            <w:vAlign w:val="center"/>
          </w:tcPr>
          <w:p>
            <w:pPr>
              <w:widowControl/>
              <w:spacing w:line="300" w:lineRule="exact"/>
              <w:jc w:val="center"/>
              <w:textAlignment w:val="center"/>
              <w:rPr>
                <w:rFonts w:ascii="宋体" w:hAnsi="宋体" w:cs="宋体"/>
                <w:szCs w:val="21"/>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9"/>
        <w:gridCol w:w="2409"/>
        <w:gridCol w:w="7080"/>
        <w:gridCol w:w="1513"/>
        <w:gridCol w:w="157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819" w:type="dxa"/>
            <w:vMerge w:val="restart"/>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819" w:type="dxa"/>
            <w:vMerge w:val="continue"/>
            <w:vAlign w:val="center"/>
          </w:tcPr>
          <w:p>
            <w:pPr>
              <w:widowControl/>
              <w:spacing w:line="300" w:lineRule="exact"/>
              <w:rPr>
                <w:rFonts w:ascii="楷体_GB2312" w:hAnsi="楷体_GB2312" w:eastAsia="楷体_GB2312" w:cs="楷体_GB2312"/>
                <w:b/>
                <w:sz w:val="24"/>
                <w:szCs w:val="24"/>
              </w:rPr>
            </w:pPr>
          </w:p>
        </w:tc>
        <w:tc>
          <w:tcPr>
            <w:tcW w:w="2409" w:type="dxa"/>
            <w:vMerge w:val="continue"/>
            <w:vAlign w:val="center"/>
          </w:tcPr>
          <w:p>
            <w:pPr>
              <w:widowControl/>
              <w:spacing w:line="300" w:lineRule="exact"/>
              <w:jc w:val="center"/>
              <w:rPr>
                <w:rFonts w:ascii="宋体" w:hAnsi="宋体" w:cs="宋体"/>
                <w:b/>
                <w:sz w:val="24"/>
                <w:szCs w:val="24"/>
              </w:rPr>
            </w:pPr>
          </w:p>
        </w:tc>
        <w:tc>
          <w:tcPr>
            <w:tcW w:w="7080" w:type="dxa"/>
            <w:vMerge w:val="continue"/>
            <w:vAlign w:val="center"/>
          </w:tcPr>
          <w:p>
            <w:pPr>
              <w:widowControl/>
              <w:spacing w:line="300" w:lineRule="exact"/>
              <w:jc w:val="center"/>
              <w:rPr>
                <w:rFonts w:ascii="宋体" w:hAnsi="宋体" w:cs="宋体"/>
                <w:b/>
                <w:sz w:val="24"/>
                <w:szCs w:val="24"/>
              </w:rPr>
            </w:pPr>
          </w:p>
        </w:tc>
        <w:tc>
          <w:tcPr>
            <w:tcW w:w="1513" w:type="dxa"/>
            <w:vMerge w:val="continue"/>
            <w:vAlign w:val="center"/>
          </w:tcPr>
          <w:p>
            <w:pPr>
              <w:widowControl/>
              <w:spacing w:line="300" w:lineRule="exact"/>
              <w:jc w:val="center"/>
              <w:rPr>
                <w:rFonts w:ascii="宋体" w:hAnsi="宋体" w:cs="宋体"/>
                <w:b/>
                <w:sz w:val="24"/>
                <w:szCs w:val="24"/>
              </w:rPr>
            </w:pPr>
          </w:p>
        </w:tc>
        <w:tc>
          <w:tcPr>
            <w:tcW w:w="1570" w:type="dxa"/>
            <w:vMerge w:val="continue"/>
            <w:vAlign w:val="center"/>
          </w:tcPr>
          <w:p>
            <w:pPr>
              <w:widowControl/>
              <w:spacing w:line="300" w:lineRule="exact"/>
              <w:jc w:val="center"/>
              <w:rPr>
                <w:rFonts w:ascii="宋体" w:hAnsi="宋体" w:cs="宋体"/>
                <w:b/>
                <w:sz w:val="24"/>
                <w:szCs w:val="24"/>
              </w:rPr>
            </w:pPr>
          </w:p>
        </w:tc>
        <w:tc>
          <w:tcPr>
            <w:tcW w:w="1309" w:type="dxa"/>
            <w:vMerge w:val="continue"/>
            <w:vAlign w:val="center"/>
          </w:tcPr>
          <w:p>
            <w:pPr>
              <w:widowControl/>
              <w:spacing w:line="300" w:lineRule="exact"/>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4" w:hRule="atLeast"/>
          <w:jc w:val="center"/>
        </w:trPr>
        <w:tc>
          <w:tcPr>
            <w:tcW w:w="1819" w:type="dxa"/>
            <w:vMerge w:val="restart"/>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四、推进社会治理法治化</w:t>
            </w:r>
          </w:p>
        </w:tc>
        <w:tc>
          <w:tcPr>
            <w:tcW w:w="2409" w:type="dxa"/>
            <w:vMerge w:val="restart"/>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（十六）发挥人民团体和社会组织在法治社会建设中的作用</w:t>
            </w:r>
          </w:p>
        </w:tc>
        <w:tc>
          <w:tcPr>
            <w:tcW w:w="7080" w:type="dxa"/>
            <w:vAlign w:val="center"/>
          </w:tcPr>
          <w:p>
            <w:pPr>
              <w:spacing w:line="300" w:lineRule="exact"/>
              <w:ind w:firstLine="480" w:firstLineChars="200"/>
              <w:rPr>
                <w:rFonts w:ascii="宋体" w:hAnsi="宋体" w:cs="宋体"/>
                <w:sz w:val="24"/>
                <w:szCs w:val="24"/>
              </w:rPr>
            </w:pPr>
            <w:r>
              <w:rPr>
                <w:rFonts w:hint="eastAsia" w:ascii="宋体" w:hAnsi="宋体" w:cs="宋体"/>
                <w:sz w:val="24"/>
                <w:szCs w:val="24"/>
              </w:rPr>
              <w:t>50.人民团体要在党的领导下，教育和组织团体成员和所联系群众依照宪法和法律的规定，通过各种途径和形式参加管理国家事务，管理经济文化事业，管理社会事务。</w:t>
            </w:r>
          </w:p>
        </w:tc>
        <w:tc>
          <w:tcPr>
            <w:tcW w:w="1513" w:type="dxa"/>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党工委办公室</w:t>
            </w:r>
          </w:p>
        </w:tc>
        <w:tc>
          <w:tcPr>
            <w:tcW w:w="1570" w:type="dxa"/>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vAlign w:val="center"/>
          </w:tcPr>
          <w:p>
            <w:pPr>
              <w:widowControl/>
              <w:spacing w:line="300" w:lineRule="exact"/>
              <w:jc w:val="center"/>
              <w:textAlignment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1" w:hRule="atLeast"/>
          <w:jc w:val="center"/>
        </w:trPr>
        <w:tc>
          <w:tcPr>
            <w:tcW w:w="1819" w:type="dxa"/>
            <w:vMerge w:val="continue"/>
            <w:vAlign w:val="center"/>
          </w:tcPr>
          <w:p>
            <w:pPr>
              <w:widowControl/>
              <w:spacing w:line="300" w:lineRule="exact"/>
              <w:rPr>
                <w:rFonts w:ascii="楷体_GB2312" w:hAnsi="楷体_GB2312" w:eastAsia="楷体_GB2312" w:cs="楷体_GB2312"/>
                <w:b/>
                <w:sz w:val="24"/>
                <w:szCs w:val="24"/>
              </w:rPr>
            </w:pPr>
          </w:p>
        </w:tc>
        <w:tc>
          <w:tcPr>
            <w:tcW w:w="2409" w:type="dxa"/>
            <w:vMerge w:val="continue"/>
            <w:vAlign w:val="center"/>
          </w:tcPr>
          <w:p>
            <w:pPr>
              <w:widowControl/>
              <w:spacing w:line="300" w:lineRule="exact"/>
              <w:jc w:val="left"/>
              <w:textAlignment w:val="center"/>
              <w:rPr>
                <w:rFonts w:ascii="宋体" w:hAnsi="宋体" w:cs="宋体"/>
                <w:kern w:val="0"/>
                <w:sz w:val="24"/>
                <w:szCs w:val="24"/>
              </w:rPr>
            </w:pPr>
          </w:p>
        </w:tc>
        <w:tc>
          <w:tcPr>
            <w:tcW w:w="7080" w:type="dxa"/>
            <w:vAlign w:val="center"/>
          </w:tcPr>
          <w:p>
            <w:pPr>
              <w:spacing w:line="300" w:lineRule="exact"/>
              <w:ind w:firstLine="480" w:firstLineChars="200"/>
              <w:rPr>
                <w:rFonts w:ascii="宋体" w:hAnsi="宋体" w:cs="宋体"/>
                <w:sz w:val="24"/>
                <w:szCs w:val="24"/>
              </w:rPr>
            </w:pPr>
            <w:r>
              <w:rPr>
                <w:rFonts w:hint="eastAsia" w:ascii="宋体" w:hAnsi="宋体" w:cs="宋体"/>
                <w:sz w:val="24"/>
                <w:szCs w:val="24"/>
              </w:rPr>
              <w:t>51.坚持党对社会组织的领导，加强社会组织党的建设，确保社会组织发展的正确政治方向。</w:t>
            </w:r>
          </w:p>
        </w:tc>
        <w:tc>
          <w:tcPr>
            <w:tcW w:w="1513" w:type="dxa"/>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区直各部门</w:t>
            </w:r>
          </w:p>
        </w:tc>
        <w:tc>
          <w:tcPr>
            <w:tcW w:w="1309" w:type="dxa"/>
            <w:vAlign w:val="center"/>
          </w:tcPr>
          <w:p>
            <w:pPr>
              <w:widowControl/>
              <w:spacing w:line="300" w:lineRule="exact"/>
              <w:jc w:val="center"/>
              <w:textAlignment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8" w:hRule="atLeast"/>
          <w:jc w:val="center"/>
        </w:trPr>
        <w:tc>
          <w:tcPr>
            <w:tcW w:w="1819" w:type="dxa"/>
            <w:vMerge w:val="continue"/>
            <w:vAlign w:val="center"/>
          </w:tcPr>
          <w:p>
            <w:pPr>
              <w:widowControl/>
              <w:spacing w:line="300" w:lineRule="exact"/>
              <w:rPr>
                <w:rFonts w:ascii="楷体_GB2312" w:hAnsi="楷体_GB2312" w:eastAsia="楷体_GB2312" w:cs="楷体_GB2312"/>
                <w:b/>
                <w:sz w:val="24"/>
                <w:szCs w:val="24"/>
              </w:rPr>
            </w:pPr>
          </w:p>
        </w:tc>
        <w:tc>
          <w:tcPr>
            <w:tcW w:w="2409" w:type="dxa"/>
            <w:vMerge w:val="continue"/>
            <w:vAlign w:val="center"/>
          </w:tcPr>
          <w:p>
            <w:pPr>
              <w:widowControl/>
              <w:spacing w:line="300" w:lineRule="exact"/>
              <w:jc w:val="left"/>
              <w:textAlignment w:val="center"/>
              <w:rPr>
                <w:rFonts w:ascii="宋体" w:hAnsi="宋体" w:cs="宋体"/>
                <w:sz w:val="24"/>
                <w:szCs w:val="24"/>
              </w:rPr>
            </w:pPr>
          </w:p>
        </w:tc>
        <w:tc>
          <w:tcPr>
            <w:tcW w:w="7080" w:type="dxa"/>
            <w:vAlign w:val="center"/>
          </w:tcPr>
          <w:p>
            <w:pPr>
              <w:spacing w:line="300" w:lineRule="exact"/>
              <w:ind w:firstLine="480" w:firstLineChars="200"/>
              <w:rPr>
                <w:rFonts w:ascii="宋体" w:hAnsi="宋体" w:cs="宋体"/>
                <w:sz w:val="24"/>
                <w:szCs w:val="24"/>
              </w:rPr>
            </w:pPr>
            <w:r>
              <w:rPr>
                <w:rFonts w:hint="eastAsia" w:ascii="宋体" w:hAnsi="宋体" w:cs="宋体"/>
                <w:sz w:val="24"/>
                <w:szCs w:val="24"/>
              </w:rPr>
              <w:t>52.加大培育社会组织力度，重点培育、优先发展行业协会商会类、科技类、公益慈善类、城乡社区服务类社会组织。推动和支持志愿服务组织发展，规范志愿服务活动和实践。发挥行业协会商会自律功能，探索建立行业自律组织。发挥社区社会组织在创新基层社会治理中的积极作用。完善政府购买公共服务机制，鼓励社会组织积极参与政府购买服务活动，促进社会组织在提供公共服务中发挥更大作用。</w:t>
            </w:r>
          </w:p>
        </w:tc>
        <w:tc>
          <w:tcPr>
            <w:tcW w:w="1513" w:type="dxa"/>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宣传部、社发局</w:t>
            </w:r>
          </w:p>
        </w:tc>
        <w:tc>
          <w:tcPr>
            <w:tcW w:w="1570" w:type="dxa"/>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群团办</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教卫局</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财政局</w:t>
            </w:r>
          </w:p>
        </w:tc>
        <w:tc>
          <w:tcPr>
            <w:tcW w:w="1309" w:type="dxa"/>
            <w:vAlign w:val="center"/>
          </w:tcPr>
          <w:p>
            <w:pPr>
              <w:widowControl/>
              <w:spacing w:line="300" w:lineRule="exact"/>
              <w:jc w:val="center"/>
              <w:textAlignment w:val="center"/>
              <w:rPr>
                <w:rFonts w:ascii="宋体" w:hAnsi="宋体" w:cs="宋体"/>
                <w:sz w:val="24"/>
                <w:szCs w:val="24"/>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rPr>
          <w:trHeight w:val="30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350"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四、推进社会治理法治化</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（十七）增强社会安全感</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53.加快对社会安全体系的整体设计和战略规划，贯彻落实加快推进社会治理现代化开创平安中国建设新局面的意见。完善平安莲花山建设协调机制、责任分担机制，健全平安莲花山建设指标体系和考核标准。</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sz w:val="24"/>
                <w:szCs w:val="24"/>
              </w:rPr>
            </w:pPr>
            <w:r>
              <w:rPr>
                <w:rFonts w:hint="eastAsia" w:ascii="宋体" w:hAnsi="宋体" w:cs="宋体"/>
                <w:sz w:val="24"/>
                <w:szCs w:val="24"/>
              </w:rPr>
              <w:t>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宋体" w:hAnsi="宋体" w:cs="宋体"/>
                <w:sz w:val="24"/>
                <w:szCs w:val="24"/>
              </w:rPr>
            </w:pPr>
            <w:r>
              <w:rPr>
                <w:rFonts w:hint="eastAsia" w:ascii="宋体" w:hAnsi="宋体" w:cs="宋体"/>
                <w:sz w:val="24"/>
                <w:szCs w:val="24"/>
              </w:rPr>
              <w:t>公安分局    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2086"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54.推动扫黑除恶常态化，依法严厉打击和惩治暴力伤害医务人员、破坏野生动物资源、暴力恐怖、黄赌毒黑拐骗、高科技犯罪、网络犯罪等违法犯罪活动，遏制和预防严重犯罪行为的发生。</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kern w:val="0"/>
                <w:sz w:val="24"/>
                <w:szCs w:val="24"/>
              </w:rPr>
            </w:pPr>
            <w:r>
              <w:rPr>
                <w:rFonts w:hint="eastAsia" w:ascii="宋体" w:hAnsi="宋体" w:cs="宋体"/>
                <w:kern w:val="0"/>
                <w:sz w:val="24"/>
                <w:szCs w:val="24"/>
              </w:rPr>
              <w:t>纪检监察工委、宣传部、政数局、公安分局、社发局、文旅局、林园局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2831"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55.强化突发事件应急体系建设，提升疫情防控、防灾减灾救灾能力。依法加强危害食品药品安全、影响生产安全、破坏交通安全等重点问题治理。</w:t>
            </w:r>
          </w:p>
          <w:p>
            <w:pPr>
              <w:widowControl/>
              <w:spacing w:line="300" w:lineRule="exact"/>
              <w:jc w:val="left"/>
              <w:textAlignment w:val="center"/>
              <w:rPr>
                <w:rFonts w:ascii="宋体" w:hAnsi="宋体" w:cs="宋体"/>
                <w:sz w:val="24"/>
                <w:szCs w:val="24"/>
              </w:rPr>
            </w:pP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textAlignment w:val="center"/>
              <w:rPr>
                <w:rFonts w:ascii="宋体" w:hAnsi="宋体" w:cs="宋体"/>
                <w:kern w:val="0"/>
                <w:sz w:val="24"/>
                <w:szCs w:val="24"/>
              </w:rPr>
            </w:pPr>
            <w:r>
              <w:rPr>
                <w:rFonts w:hint="eastAsia" w:ascii="宋体" w:hAnsi="宋体" w:cs="宋体"/>
                <w:kern w:val="0"/>
                <w:sz w:val="24"/>
                <w:szCs w:val="24"/>
              </w:rPr>
              <w:t>应急局、公安分局、教卫局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left"/>
              <w:textAlignment w:val="center"/>
              <w:rPr>
                <w:rFonts w:ascii="宋体" w:hAnsi="宋体" w:cs="宋体"/>
                <w:sz w:val="24"/>
                <w:szCs w:val="24"/>
              </w:rPr>
            </w:pPr>
            <w:r>
              <w:rPr>
                <w:rFonts w:hint="eastAsia" w:ascii="宋体" w:hAnsi="宋体" w:cs="宋体"/>
                <w:sz w:val="24"/>
                <w:szCs w:val="24"/>
              </w:rPr>
              <w:t>发改局、社发局、规自分局、生态环境分局、建委、水利水务局、市场监管分局、林园局、文旅局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2239"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四、推进社会治理法治化</w:t>
            </w: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（十八）增强社会安全感</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56.健全社会心理服务体系和疏导机制、危机干预机制，搭建基层心理健康服务平台，发展心理工作者、社会工作者等社会心理服务人才队伍，加强对社区弱势群体人文关怀、精神慰藉和心理健康服务。健全执法司法机关与社会心理服务机构的工作衔接，加强对执法司法涉及人群的心理疏导。依托各类公共法律服务窗口、法律救助工作站和维权热线，开展心理咨询和维权服务。</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依法治区办</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政法委办公室</w:t>
            </w:r>
          </w:p>
          <w:p>
            <w:pPr>
              <w:widowControl/>
              <w:spacing w:line="300" w:lineRule="exact"/>
              <w:jc w:val="center"/>
              <w:textAlignment w:val="center"/>
              <w:rPr>
                <w:rFonts w:ascii="宋体" w:hAnsi="宋体" w:cs="宋体"/>
                <w:sz w:val="24"/>
                <w:szCs w:val="24"/>
              </w:rPr>
            </w:pPr>
            <w:r>
              <w:rPr>
                <w:rFonts w:hint="eastAsia" w:ascii="宋体" w:hAnsi="宋体" w:cs="宋体"/>
                <w:sz w:val="24"/>
                <w:szCs w:val="24"/>
              </w:rPr>
              <w:t>教卫局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公安分局、社发局、信访局、群团办、农业农村局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551"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57.推进“青少年维权岗”“青少年零犯罪零受害村（社区）”创建，强化预防青少年犯罪工作的基层基础。推动妇联、志愿者、巾帼司法顾问团等发挥作用，深入村屯、社区等做好预防青少年犯罪的法治宣传教育。加强青少年权益维护，更好解决青少年维权个案办理。</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群团办</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公安分局、教卫局、社发局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978"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（十九）依法有效化解社会矛盾纠纷</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58.完善人民调解、行政调解、司法调解联动工作体系，加强矛盾排查和风险研判，探索在矛盾纠纷多发领域建立“一站式”纠纷解决机制。</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依法治区办 政法委办公室社发局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检察室、公安分局、信访局、区直各部门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13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仿宋_GB2312" w:hAnsi="仿宋" w:eastAsia="仿宋_GB2312" w:cs="仿宋"/>
                <w:snapToGrid w:val="0"/>
                <w:kern w:val="0"/>
                <w:szCs w:val="32"/>
              </w:rPr>
            </w:pPr>
            <w:r>
              <w:rPr>
                <w:rFonts w:hint="eastAsia" w:ascii="宋体" w:hAnsi="宋体" w:cs="宋体"/>
                <w:sz w:val="24"/>
                <w:szCs w:val="24"/>
              </w:rPr>
              <w:t>59.全面落实诉讼与信访分离制度，深入推进依法分类处理信访诉求。</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政法委办公室</w:t>
            </w:r>
          </w:p>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信访局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19"/>
        <w:gridCol w:w="2409"/>
        <w:gridCol w:w="7080"/>
        <w:gridCol w:w="1513"/>
        <w:gridCol w:w="1570"/>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819" w:type="dxa"/>
            <w:vMerge w:val="restart"/>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819" w:type="dxa"/>
            <w:vMerge w:val="continue"/>
            <w:vAlign w:val="center"/>
          </w:tcPr>
          <w:p>
            <w:pPr>
              <w:widowControl/>
              <w:spacing w:line="300" w:lineRule="exact"/>
              <w:rPr>
                <w:rFonts w:ascii="楷体_GB2312" w:hAnsi="楷体_GB2312" w:eastAsia="楷体_GB2312" w:cs="楷体_GB2312"/>
                <w:b/>
                <w:sz w:val="24"/>
                <w:szCs w:val="24"/>
              </w:rPr>
            </w:pPr>
          </w:p>
        </w:tc>
        <w:tc>
          <w:tcPr>
            <w:tcW w:w="2409" w:type="dxa"/>
            <w:vMerge w:val="continue"/>
            <w:vAlign w:val="center"/>
          </w:tcPr>
          <w:p>
            <w:pPr>
              <w:widowControl/>
              <w:spacing w:line="300" w:lineRule="exact"/>
              <w:jc w:val="center"/>
              <w:rPr>
                <w:rFonts w:ascii="宋体" w:hAnsi="宋体" w:cs="宋体"/>
                <w:b/>
                <w:sz w:val="24"/>
                <w:szCs w:val="24"/>
              </w:rPr>
            </w:pPr>
          </w:p>
        </w:tc>
        <w:tc>
          <w:tcPr>
            <w:tcW w:w="7080" w:type="dxa"/>
            <w:vMerge w:val="continue"/>
            <w:vAlign w:val="center"/>
          </w:tcPr>
          <w:p>
            <w:pPr>
              <w:widowControl/>
              <w:spacing w:line="300" w:lineRule="exact"/>
              <w:jc w:val="center"/>
              <w:rPr>
                <w:rFonts w:ascii="宋体" w:hAnsi="宋体" w:cs="宋体"/>
                <w:b/>
                <w:sz w:val="24"/>
                <w:szCs w:val="24"/>
              </w:rPr>
            </w:pPr>
          </w:p>
        </w:tc>
        <w:tc>
          <w:tcPr>
            <w:tcW w:w="1513" w:type="dxa"/>
            <w:vMerge w:val="continue"/>
            <w:vAlign w:val="center"/>
          </w:tcPr>
          <w:p>
            <w:pPr>
              <w:widowControl/>
              <w:spacing w:line="300" w:lineRule="exact"/>
              <w:jc w:val="center"/>
              <w:rPr>
                <w:rFonts w:ascii="宋体" w:hAnsi="宋体" w:cs="宋体"/>
                <w:b/>
                <w:sz w:val="24"/>
                <w:szCs w:val="24"/>
              </w:rPr>
            </w:pPr>
          </w:p>
        </w:tc>
        <w:tc>
          <w:tcPr>
            <w:tcW w:w="1570" w:type="dxa"/>
            <w:vMerge w:val="continue"/>
            <w:vAlign w:val="center"/>
          </w:tcPr>
          <w:p>
            <w:pPr>
              <w:widowControl/>
              <w:spacing w:line="300" w:lineRule="exact"/>
              <w:jc w:val="center"/>
              <w:rPr>
                <w:rFonts w:ascii="宋体" w:hAnsi="宋体" w:cs="宋体"/>
                <w:b/>
                <w:sz w:val="24"/>
                <w:szCs w:val="24"/>
              </w:rPr>
            </w:pPr>
          </w:p>
        </w:tc>
        <w:tc>
          <w:tcPr>
            <w:tcW w:w="1309" w:type="dxa"/>
            <w:vMerge w:val="continue"/>
            <w:vAlign w:val="center"/>
          </w:tcPr>
          <w:p>
            <w:pPr>
              <w:widowControl/>
              <w:spacing w:line="300" w:lineRule="exact"/>
              <w:jc w:val="center"/>
              <w:rPr>
                <w:rFonts w:ascii="宋体" w:hAnsi="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68" w:hRule="atLeast"/>
          <w:jc w:val="center"/>
        </w:trPr>
        <w:tc>
          <w:tcPr>
            <w:tcW w:w="1819" w:type="dxa"/>
            <w:vMerge w:val="restart"/>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四、推进社会治理法治化</w:t>
            </w:r>
          </w:p>
        </w:tc>
        <w:tc>
          <w:tcPr>
            <w:tcW w:w="2409" w:type="dxa"/>
            <w:vMerge w:val="restart"/>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（十九）依法有效化解社会矛盾纠纷</w:t>
            </w:r>
          </w:p>
        </w:tc>
        <w:tc>
          <w:tcPr>
            <w:tcW w:w="7080" w:type="dxa"/>
            <w:vAlign w:val="center"/>
          </w:tcPr>
          <w:p>
            <w:pPr>
              <w:spacing w:line="300" w:lineRule="exact"/>
              <w:rPr>
                <w:rFonts w:ascii="宋体" w:hAnsi="宋体" w:cs="宋体"/>
                <w:sz w:val="24"/>
                <w:szCs w:val="24"/>
              </w:rPr>
            </w:pPr>
            <w:r>
              <w:rPr>
                <w:rFonts w:hint="eastAsia" w:ascii="宋体" w:hAnsi="宋体" w:cs="宋体"/>
                <w:sz w:val="24"/>
                <w:szCs w:val="24"/>
              </w:rPr>
              <w:t>60.充分发挥律师在调解中的作用，建立健全律师参与纠纷调解保障机制。</w:t>
            </w:r>
          </w:p>
        </w:tc>
        <w:tc>
          <w:tcPr>
            <w:tcW w:w="1513" w:type="dxa"/>
            <w:vAlign w:val="center"/>
          </w:tcPr>
          <w:p>
            <w:pPr>
              <w:widowControl/>
              <w:spacing w:line="300" w:lineRule="exact"/>
              <w:jc w:val="center"/>
              <w:textAlignment w:val="center"/>
              <w:rPr>
                <w:rFonts w:ascii="宋体" w:hAnsi="宋体" w:cs="宋体"/>
                <w:sz w:val="24"/>
                <w:szCs w:val="24"/>
              </w:rPr>
            </w:pPr>
          </w:p>
        </w:tc>
        <w:tc>
          <w:tcPr>
            <w:tcW w:w="1570" w:type="dxa"/>
            <w:vAlign w:val="center"/>
          </w:tcPr>
          <w:p>
            <w:pPr>
              <w:widowControl/>
              <w:spacing w:line="300" w:lineRule="exact"/>
              <w:jc w:val="center"/>
              <w:rPr>
                <w:rFonts w:ascii="宋体" w:hAnsi="宋体" w:cs="宋体"/>
                <w:sz w:val="24"/>
                <w:szCs w:val="24"/>
              </w:rPr>
            </w:pPr>
          </w:p>
        </w:tc>
        <w:tc>
          <w:tcPr>
            <w:tcW w:w="1309" w:type="dxa"/>
            <w:vAlign w:val="center"/>
          </w:tcPr>
          <w:p>
            <w:pPr>
              <w:widowControl/>
              <w:spacing w:line="300" w:lineRule="exact"/>
              <w:jc w:val="center"/>
              <w:textAlignment w:val="center"/>
              <w:rPr>
                <w:rFonts w:ascii="宋体" w:hAnsi="宋体" w:cs="宋体"/>
                <w:sz w:val="24"/>
                <w:szCs w:val="24"/>
              </w:rPr>
            </w:pPr>
            <w:r>
              <w:rPr>
                <w:rFonts w:hint="eastAsia" w:ascii="宋体" w:hAnsi="宋体" w:cs="宋体"/>
                <w:sz w:val="24"/>
                <w:szCs w:val="24"/>
              </w:rPr>
              <w:t>社发局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0" w:hRule="atLeast"/>
          <w:jc w:val="center"/>
        </w:trPr>
        <w:tc>
          <w:tcPr>
            <w:tcW w:w="1819" w:type="dxa"/>
            <w:vMerge w:val="continue"/>
            <w:vAlign w:val="center"/>
          </w:tcPr>
          <w:p>
            <w:pPr>
              <w:widowControl/>
              <w:spacing w:line="300" w:lineRule="exact"/>
              <w:rPr>
                <w:rFonts w:ascii="楷体_GB2312" w:hAnsi="楷体_GB2312" w:eastAsia="楷体_GB2312" w:cs="楷体_GB2312"/>
                <w:b/>
                <w:sz w:val="24"/>
                <w:szCs w:val="24"/>
              </w:rPr>
            </w:pPr>
          </w:p>
        </w:tc>
        <w:tc>
          <w:tcPr>
            <w:tcW w:w="2409" w:type="dxa"/>
            <w:vMerge w:val="continue"/>
            <w:vAlign w:val="center"/>
          </w:tcPr>
          <w:p>
            <w:pPr>
              <w:widowControl/>
              <w:spacing w:line="300" w:lineRule="exact"/>
              <w:jc w:val="left"/>
              <w:textAlignment w:val="center"/>
              <w:rPr>
                <w:rFonts w:ascii="宋体" w:hAnsi="宋体" w:cs="宋体"/>
                <w:kern w:val="0"/>
                <w:sz w:val="24"/>
                <w:szCs w:val="24"/>
              </w:rPr>
            </w:pPr>
          </w:p>
        </w:tc>
        <w:tc>
          <w:tcPr>
            <w:tcW w:w="7080" w:type="dxa"/>
            <w:vAlign w:val="center"/>
          </w:tcPr>
          <w:p>
            <w:pPr>
              <w:spacing w:line="300" w:lineRule="exact"/>
              <w:rPr>
                <w:rFonts w:ascii="宋体" w:hAnsi="宋体" w:cs="宋体"/>
                <w:sz w:val="24"/>
                <w:szCs w:val="24"/>
              </w:rPr>
            </w:pPr>
            <w:r>
              <w:rPr>
                <w:rFonts w:hint="eastAsia" w:ascii="宋体" w:hAnsi="宋体" w:cs="宋体"/>
                <w:sz w:val="24"/>
                <w:szCs w:val="24"/>
              </w:rPr>
              <w:t>61.推动仲裁委员会积极参与基层社会纠纷解决，支持仲裁融入基层社会治理。加强农村土地承包经营纠纷调解仲裁工作，在案件办理过程中注重加强调解。加强劳动人事争议调解仲裁工作，完善协商、调解、仲裁、诉讼相互协调、有序衔接的劳动人事争议多元处理机制，提高劳动人事争议处理质效。</w:t>
            </w:r>
          </w:p>
        </w:tc>
        <w:tc>
          <w:tcPr>
            <w:tcW w:w="1513" w:type="dxa"/>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农业农村局</w:t>
            </w:r>
          </w:p>
        </w:tc>
        <w:tc>
          <w:tcPr>
            <w:tcW w:w="1570" w:type="dxa"/>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309" w:type="dxa"/>
            <w:vAlign w:val="center"/>
          </w:tcPr>
          <w:p>
            <w:pPr>
              <w:widowControl/>
              <w:spacing w:line="300" w:lineRule="exact"/>
              <w:jc w:val="center"/>
              <w:textAlignment w:val="center"/>
              <w:rPr>
                <w:rFonts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3" w:hRule="atLeast"/>
          <w:jc w:val="center"/>
        </w:trPr>
        <w:tc>
          <w:tcPr>
            <w:tcW w:w="1819" w:type="dxa"/>
            <w:vMerge w:val="continue"/>
            <w:vAlign w:val="center"/>
          </w:tcPr>
          <w:p>
            <w:pPr>
              <w:widowControl/>
              <w:spacing w:line="300" w:lineRule="exact"/>
              <w:rPr>
                <w:rFonts w:ascii="楷体_GB2312" w:hAnsi="楷体_GB2312" w:eastAsia="楷体_GB2312" w:cs="楷体_GB2312"/>
                <w:b/>
                <w:sz w:val="24"/>
                <w:szCs w:val="24"/>
              </w:rPr>
            </w:pPr>
          </w:p>
        </w:tc>
        <w:tc>
          <w:tcPr>
            <w:tcW w:w="2409" w:type="dxa"/>
            <w:vMerge w:val="continue"/>
            <w:vAlign w:val="center"/>
          </w:tcPr>
          <w:p>
            <w:pPr>
              <w:widowControl/>
              <w:spacing w:line="300" w:lineRule="exact"/>
              <w:jc w:val="left"/>
              <w:textAlignment w:val="center"/>
              <w:rPr>
                <w:rFonts w:ascii="宋体" w:hAnsi="宋体" w:cs="宋体"/>
                <w:sz w:val="24"/>
                <w:szCs w:val="24"/>
              </w:rPr>
            </w:pPr>
          </w:p>
        </w:tc>
        <w:tc>
          <w:tcPr>
            <w:tcW w:w="7080" w:type="dxa"/>
            <w:vAlign w:val="center"/>
          </w:tcPr>
          <w:p>
            <w:pPr>
              <w:spacing w:line="300" w:lineRule="exact"/>
              <w:rPr>
                <w:rFonts w:ascii="宋体" w:hAnsi="宋体" w:cs="宋体"/>
                <w:sz w:val="24"/>
                <w:szCs w:val="24"/>
              </w:rPr>
            </w:pPr>
            <w:r>
              <w:rPr>
                <w:rFonts w:hint="eastAsia" w:ascii="宋体" w:hAnsi="宋体" w:cs="宋体"/>
                <w:sz w:val="24"/>
                <w:szCs w:val="24"/>
              </w:rPr>
              <w:t>62.加强行政复议、行政调解、行政裁决工作，发挥行政机关化解纠纷的“分流阀”作用。</w:t>
            </w:r>
          </w:p>
        </w:tc>
        <w:tc>
          <w:tcPr>
            <w:tcW w:w="1513" w:type="dxa"/>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社发局</w:t>
            </w:r>
          </w:p>
        </w:tc>
        <w:tc>
          <w:tcPr>
            <w:tcW w:w="1570" w:type="dxa"/>
            <w:vAlign w:val="center"/>
          </w:tcPr>
          <w:p>
            <w:pPr>
              <w:widowControl/>
              <w:spacing w:line="300" w:lineRule="exact"/>
              <w:jc w:val="center"/>
              <w:rPr>
                <w:rFonts w:ascii="宋体" w:hAnsi="宋体" w:cs="宋体"/>
                <w:sz w:val="24"/>
                <w:szCs w:val="24"/>
              </w:rPr>
            </w:pPr>
            <w:r>
              <w:rPr>
                <w:rFonts w:hint="eastAsia" w:ascii="宋体" w:hAnsi="宋体" w:cs="宋体"/>
                <w:sz w:val="24"/>
                <w:szCs w:val="24"/>
              </w:rPr>
              <w:t>区直各部门</w:t>
            </w:r>
          </w:p>
        </w:tc>
        <w:tc>
          <w:tcPr>
            <w:tcW w:w="1309" w:type="dxa"/>
            <w:vAlign w:val="center"/>
          </w:tcPr>
          <w:p>
            <w:pPr>
              <w:widowControl/>
              <w:spacing w:line="300" w:lineRule="exact"/>
              <w:jc w:val="center"/>
              <w:textAlignment w:val="center"/>
              <w:rPr>
                <w:rFonts w:ascii="宋体" w:hAnsi="宋体" w:cs="宋体"/>
                <w:sz w:val="24"/>
                <w:szCs w:val="24"/>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rPr>
          <w:trHeight w:val="494"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rPr>
          <w:trHeight w:val="1119"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五、依法治理网络空间</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（二十）完善网络法律制度</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63.全面贯彻网络安全和信息化领域等法律法规，因地制宜制定相应配套制度，推动现有法规规章和我区配套制度延伸适用到网络空间。</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1"/>
                <w:szCs w:val="21"/>
              </w:rPr>
            </w:pPr>
            <w:r>
              <w:rPr>
                <w:rFonts w:hint="eastAsia" w:ascii="宋体" w:hAnsi="宋体" w:cs="宋体"/>
                <w:sz w:val="21"/>
                <w:szCs w:val="21"/>
              </w:rPr>
              <w:t>政数局、公安分局、社发局</w:t>
            </w:r>
          </w:p>
        </w:tc>
      </w:tr>
      <w:tr>
        <w:tblPrEx>
          <w:tblCellMar>
            <w:top w:w="0" w:type="dxa"/>
            <w:left w:w="0" w:type="dxa"/>
            <w:bottom w:w="0" w:type="dxa"/>
            <w:right w:w="0" w:type="dxa"/>
          </w:tblCellMar>
        </w:tblPrEx>
        <w:trPr>
          <w:trHeight w:val="1166"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pStyle w:val="6"/>
              <w:spacing w:line="300" w:lineRule="exact"/>
              <w:ind w:firstLine="0" w:firstLineChars="0"/>
              <w:jc w:val="both"/>
              <w:rPr>
                <w:rFonts w:ascii="宋体" w:hAnsi="宋体" w:cs="宋体"/>
                <w:kern w:val="2"/>
                <w:sz w:val="24"/>
                <w:szCs w:val="24"/>
              </w:rPr>
            </w:pPr>
            <w:r>
              <w:rPr>
                <w:rFonts w:hint="eastAsia" w:ascii="宋体" w:hAnsi="宋体" w:cs="宋体"/>
                <w:kern w:val="2"/>
                <w:sz w:val="24"/>
                <w:szCs w:val="24"/>
              </w:rPr>
              <w:t>64.做好网络安全法配套规定和标准体系、关键信息基础设施安全保护、数据安全管理和网络安全审查等网络安全管理制度的贯彻实施，加强对大数据、云计算和人工智能等新技术研发应用的规范引导。</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24"/>
                <w:szCs w:val="24"/>
              </w:rPr>
            </w:pPr>
            <w:r>
              <w:rPr>
                <w:rFonts w:hint="eastAsia" w:ascii="宋体" w:hAnsi="宋体" w:cs="宋体"/>
                <w:kern w:val="0"/>
                <w:sz w:val="24"/>
                <w:szCs w:val="24"/>
              </w:rPr>
              <w:t>政数局</w:t>
            </w:r>
          </w:p>
          <w:p>
            <w:pPr>
              <w:widowControl/>
              <w:spacing w:line="240" w:lineRule="exact"/>
              <w:jc w:val="center"/>
              <w:textAlignment w:val="center"/>
              <w:rPr>
                <w:rFonts w:ascii="宋体" w:hAnsi="宋体" w:cs="宋体"/>
                <w:kern w:val="0"/>
                <w:sz w:val="24"/>
                <w:szCs w:val="24"/>
              </w:rPr>
            </w:pPr>
            <w:r>
              <w:rPr>
                <w:rFonts w:hint="eastAsia" w:ascii="宋体" w:hAnsi="宋体" w:cs="宋体"/>
                <w:kern w:val="0"/>
                <w:sz w:val="24"/>
                <w:szCs w:val="24"/>
              </w:rPr>
              <w:t>公安分局</w:t>
            </w:r>
          </w:p>
          <w:p>
            <w:pPr>
              <w:widowControl/>
              <w:spacing w:line="240" w:lineRule="exact"/>
              <w:jc w:val="center"/>
              <w:textAlignment w:val="center"/>
              <w:rPr>
                <w:rFonts w:ascii="宋体" w:hAnsi="宋体" w:cs="宋体"/>
                <w:kern w:val="0"/>
                <w:sz w:val="24"/>
                <w:szCs w:val="24"/>
              </w:rPr>
            </w:pPr>
            <w:r>
              <w:rPr>
                <w:rFonts w:hint="eastAsia" w:ascii="宋体" w:hAnsi="宋体" w:cs="宋体"/>
                <w:kern w:val="0"/>
                <w:sz w:val="24"/>
                <w:szCs w:val="24"/>
              </w:rPr>
              <w:t>文旅局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24"/>
                <w:szCs w:val="24"/>
              </w:rPr>
            </w:pPr>
            <w:r>
              <w:rPr>
                <w:rFonts w:hint="eastAsia" w:ascii="宋体" w:hAnsi="宋体" w:cs="宋体"/>
                <w:kern w:val="0"/>
                <w:sz w:val="24"/>
                <w:szCs w:val="24"/>
              </w:rPr>
              <w:t>党工委办公室、社发局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rPr>
          <w:trHeight w:val="935"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（二十一）培育良好的网络法治意识</w:t>
            </w:r>
            <w:r>
              <w:rPr>
                <w:rFonts w:hint="eastAsia" w:ascii="宋体" w:hAnsi="宋体" w:cs="宋体"/>
                <w:sz w:val="24"/>
                <w:szCs w:val="24"/>
              </w:rPr>
              <w:tab/>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65.加强和创新互联网内容建设，实施社会主义核心价值观、中华文化新媒体传播等工程。</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p>
            <w:pPr>
              <w:widowControl/>
              <w:spacing w:line="240" w:lineRule="exact"/>
              <w:jc w:val="center"/>
              <w:textAlignment w:val="center"/>
              <w:rPr>
                <w:rFonts w:ascii="宋体" w:hAnsi="宋体" w:cs="宋体"/>
                <w:kern w:val="0"/>
                <w:sz w:val="24"/>
                <w:szCs w:val="24"/>
              </w:rPr>
            </w:pPr>
            <w:r>
              <w:rPr>
                <w:rFonts w:hint="eastAsia" w:ascii="宋体" w:hAnsi="宋体" w:cs="宋体"/>
                <w:kern w:val="0"/>
                <w:sz w:val="24"/>
                <w:szCs w:val="24"/>
              </w:rPr>
              <w:t>政数局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sz w:val="24"/>
                <w:szCs w:val="24"/>
              </w:rPr>
            </w:pPr>
            <w:r>
              <w:rPr>
                <w:rFonts w:hint="eastAsia" w:ascii="宋体" w:hAnsi="宋体" w:cs="宋体"/>
                <w:sz w:val="24"/>
                <w:szCs w:val="24"/>
              </w:rPr>
              <w:t>教卫局、公安分局、市旅局、群团办</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rPr>
          <w:trHeight w:val="860"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66.推动互联网信息服务领域严重失信“黑名单”制度和惩戒机制，推动网络诚信制度化建设。</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24"/>
                <w:szCs w:val="24"/>
              </w:rPr>
            </w:pPr>
            <w:r>
              <w:rPr>
                <w:rFonts w:hint="eastAsia" w:ascii="宋体" w:hAnsi="宋体" w:cs="宋体"/>
                <w:kern w:val="0"/>
                <w:sz w:val="24"/>
                <w:szCs w:val="24"/>
              </w:rPr>
              <w:t>政数局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z w:val="24"/>
                <w:szCs w:val="24"/>
              </w:rPr>
            </w:pPr>
            <w:r>
              <w:rPr>
                <w:rFonts w:hint="eastAsia" w:ascii="宋体" w:hAnsi="宋体" w:cs="宋体"/>
                <w:sz w:val="24"/>
                <w:szCs w:val="24"/>
              </w:rPr>
              <w:t>公安分局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rPr>
          <w:trHeight w:val="881"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67.坚决依法打击谣言、淫秽、暴力、迷信、邪教等有害信息在网络空间传播蔓延，建立健全互联网违法和不良信息举报一体化受理处置体系。</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24"/>
                <w:szCs w:val="24"/>
              </w:rPr>
            </w:pPr>
            <w:r>
              <w:rPr>
                <w:rFonts w:hint="eastAsia" w:ascii="宋体" w:hAnsi="宋体" w:cs="宋体"/>
                <w:kern w:val="0"/>
                <w:sz w:val="24"/>
                <w:szCs w:val="24"/>
              </w:rPr>
              <w:t>宣传部</w:t>
            </w:r>
          </w:p>
          <w:p>
            <w:pPr>
              <w:widowControl/>
              <w:spacing w:line="240" w:lineRule="exact"/>
              <w:jc w:val="center"/>
              <w:textAlignment w:val="center"/>
              <w:rPr>
                <w:rFonts w:ascii="宋体" w:hAnsi="宋体" w:cs="宋体"/>
                <w:kern w:val="0"/>
                <w:sz w:val="24"/>
                <w:szCs w:val="24"/>
              </w:rPr>
            </w:pPr>
            <w:r>
              <w:rPr>
                <w:rFonts w:hint="eastAsia" w:ascii="宋体" w:hAnsi="宋体" w:cs="宋体"/>
                <w:kern w:val="0"/>
                <w:sz w:val="24"/>
                <w:szCs w:val="24"/>
              </w:rPr>
              <w:t>公安分局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sz w:val="24"/>
                <w:szCs w:val="24"/>
              </w:rPr>
            </w:pPr>
            <w:r>
              <w:rPr>
                <w:rFonts w:hint="eastAsia" w:ascii="宋体" w:hAnsi="宋体" w:cs="宋体"/>
                <w:sz w:val="24"/>
                <w:szCs w:val="24"/>
              </w:rPr>
              <w:t>社发局</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rPr>
          <w:trHeight w:val="989"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68.加强全社会网络法治和网络素养教育，强化青少年网络安全教育，引导青少年理性上网。引导网民文明上网、理性表达，营造风清气正的网络环境。</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 w:val="24"/>
                <w:szCs w:val="24"/>
              </w:rPr>
            </w:pPr>
            <w:r>
              <w:rPr>
                <w:rFonts w:hint="eastAsia" w:ascii="宋体" w:hAnsi="宋体" w:cs="宋体"/>
                <w:kern w:val="0"/>
                <w:sz w:val="24"/>
                <w:szCs w:val="24"/>
              </w:rPr>
              <w:t>宣传部     教卫局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sz w:val="24"/>
                <w:szCs w:val="24"/>
              </w:rPr>
            </w:pPr>
            <w:r>
              <w:rPr>
                <w:rFonts w:hint="eastAsia" w:ascii="宋体" w:hAnsi="宋体" w:cs="宋体"/>
                <w:sz w:val="24"/>
                <w:szCs w:val="24"/>
              </w:rPr>
              <w:t>公安分局</w:t>
            </w:r>
          </w:p>
          <w:p>
            <w:pPr>
              <w:widowControl/>
              <w:spacing w:line="300" w:lineRule="exact"/>
              <w:jc w:val="center"/>
              <w:rPr>
                <w:rFonts w:ascii="宋体" w:hAnsi="宋体" w:cs="宋体"/>
                <w:sz w:val="24"/>
                <w:szCs w:val="24"/>
              </w:rPr>
            </w:pPr>
            <w:r>
              <w:rPr>
                <w:rFonts w:hint="eastAsia" w:ascii="宋体" w:hAnsi="宋体" w:cs="宋体"/>
                <w:sz w:val="24"/>
                <w:szCs w:val="24"/>
              </w:rPr>
              <w:t>群团办</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pStyle w:val="2"/>
        <w:ind w:left="0"/>
        <w:rPr>
          <w:rFonts w:ascii="方正小标宋简体" w:hAnsi="方正小标宋简体" w:eastAsia="方正小标宋简体" w:cs="方正小标宋简体"/>
          <w:bCs/>
          <w:spacing w:val="-24"/>
          <w:kern w:val="0"/>
          <w:sz w:val="44"/>
          <w:szCs w:val="44"/>
        </w:rPr>
      </w:pPr>
      <w:r>
        <w:rPr>
          <w:rFonts w:hint="eastAsia" w:ascii="方正小标宋简体" w:hAnsi="方正小标宋简体" w:eastAsia="方正小标宋简体" w:cs="方正小标宋简体"/>
          <w:bCs/>
          <w:spacing w:val="-24"/>
          <w:kern w:val="0"/>
          <w:sz w:val="44"/>
          <w:szCs w:val="44"/>
        </w:rPr>
        <w:t>莲花山度假区法治社会建设实施方案（2021 - 2025年）重点工作任务分工</w:t>
      </w:r>
    </w:p>
    <w:tbl>
      <w:tblPr>
        <w:tblStyle w:val="7"/>
        <w:tblW w:w="15700" w:type="dxa"/>
        <w:jc w:val="center"/>
        <w:tblLayout w:type="fixed"/>
        <w:tblCellMar>
          <w:top w:w="0" w:type="dxa"/>
          <w:left w:w="0" w:type="dxa"/>
          <w:bottom w:w="0" w:type="dxa"/>
          <w:right w:w="0" w:type="dxa"/>
        </w:tblCellMar>
      </w:tblPr>
      <w:tblGrid>
        <w:gridCol w:w="1819"/>
        <w:gridCol w:w="2409"/>
        <w:gridCol w:w="7080"/>
        <w:gridCol w:w="1513"/>
        <w:gridCol w:w="1570"/>
        <w:gridCol w:w="1309"/>
      </w:tblGrid>
      <w:tr>
        <w:tblPrEx>
          <w:tblCellMar>
            <w:top w:w="0" w:type="dxa"/>
            <w:left w:w="0" w:type="dxa"/>
            <w:bottom w:w="0" w:type="dxa"/>
            <w:right w:w="0" w:type="dxa"/>
          </w:tblCellMar>
        </w:tblPrEx>
        <w:trPr>
          <w:trHeight w:val="494"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楷体_GB2312"/>
                <w:b/>
                <w:sz w:val="24"/>
                <w:szCs w:val="24"/>
              </w:rPr>
            </w:pPr>
            <w:r>
              <w:rPr>
                <w:rFonts w:hint="eastAsia" w:ascii="黑体" w:hAnsi="黑体" w:eastAsia="黑体" w:cs="楷体_GB2312"/>
                <w:b/>
                <w:kern w:val="0"/>
                <w:sz w:val="24"/>
                <w:szCs w:val="24"/>
              </w:rPr>
              <w:t>重点工作</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主要任务</w:t>
            </w:r>
          </w:p>
        </w:tc>
        <w:tc>
          <w:tcPr>
            <w:tcW w:w="708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具体内容</w:t>
            </w:r>
          </w:p>
        </w:tc>
        <w:tc>
          <w:tcPr>
            <w:tcW w:w="151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牵头部门</w:t>
            </w:r>
          </w:p>
        </w:tc>
        <w:tc>
          <w:tcPr>
            <w:tcW w:w="157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kern w:val="0"/>
                <w:sz w:val="24"/>
                <w:szCs w:val="24"/>
              </w:rPr>
              <w:t>参加部门</w:t>
            </w:r>
          </w:p>
        </w:tc>
        <w:tc>
          <w:tcPr>
            <w:tcW w:w="130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黑体" w:hAnsi="黑体" w:eastAsia="黑体" w:cs="宋体"/>
                <w:b/>
                <w:sz w:val="24"/>
                <w:szCs w:val="24"/>
              </w:rPr>
            </w:pPr>
            <w:r>
              <w:rPr>
                <w:rFonts w:hint="eastAsia" w:ascii="黑体" w:hAnsi="黑体" w:eastAsia="黑体" w:cs="宋体"/>
                <w:b/>
                <w:sz w:val="24"/>
                <w:szCs w:val="24"/>
              </w:rPr>
              <w:t>责任部门</w:t>
            </w:r>
          </w:p>
        </w:tc>
      </w:tr>
      <w:tr>
        <w:tblPrEx>
          <w:tblCellMar>
            <w:top w:w="0" w:type="dxa"/>
            <w:left w:w="0" w:type="dxa"/>
            <w:bottom w:w="0" w:type="dxa"/>
            <w:right w:w="0" w:type="dxa"/>
          </w:tblCellMar>
        </w:tblPrEx>
        <w:trPr>
          <w:trHeight w:val="312"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b/>
                <w:sz w:val="24"/>
                <w:szCs w:val="24"/>
              </w:rPr>
            </w:pPr>
          </w:p>
        </w:tc>
        <w:tc>
          <w:tcPr>
            <w:tcW w:w="24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70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1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57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c>
          <w:tcPr>
            <w:tcW w:w="130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b/>
                <w:sz w:val="24"/>
                <w:szCs w:val="24"/>
              </w:rPr>
            </w:pPr>
          </w:p>
        </w:tc>
      </w:tr>
      <w:tr>
        <w:tblPrEx>
          <w:tblCellMar>
            <w:top w:w="0" w:type="dxa"/>
            <w:left w:w="0" w:type="dxa"/>
            <w:bottom w:w="0" w:type="dxa"/>
            <w:right w:w="0" w:type="dxa"/>
          </w:tblCellMar>
        </w:tblPrEx>
        <w:trPr>
          <w:trHeight w:val="1442" w:hRule="atLeast"/>
          <w:jc w:val="center"/>
        </w:trPr>
        <w:tc>
          <w:tcPr>
            <w:tcW w:w="181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textAlignment w:val="center"/>
              <w:rPr>
                <w:rFonts w:ascii="楷体_GB2312" w:hAnsi="楷体_GB2312" w:eastAsia="楷体_GB2312" w:cs="楷体_GB2312"/>
                <w:b/>
                <w:sz w:val="24"/>
                <w:szCs w:val="24"/>
              </w:rPr>
            </w:pPr>
            <w:r>
              <w:rPr>
                <w:rFonts w:hint="eastAsia" w:ascii="楷体_GB2312" w:hAnsi="楷体_GB2312" w:eastAsia="楷体_GB2312" w:cs="楷体_GB2312"/>
                <w:b/>
                <w:sz w:val="24"/>
                <w:szCs w:val="24"/>
              </w:rPr>
              <w:t>五、依法治理网络空间</w:t>
            </w:r>
          </w:p>
        </w:tc>
        <w:tc>
          <w:tcPr>
            <w:tcW w:w="2409" w:type="dxa"/>
            <w:vMerge w:val="restart"/>
            <w:tcBorders>
              <w:top w:val="single" w:color="auto" w:sz="4" w:space="0"/>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r>
              <w:rPr>
                <w:rFonts w:hint="eastAsia" w:ascii="宋体" w:hAnsi="宋体" w:cs="宋体"/>
                <w:sz w:val="24"/>
                <w:szCs w:val="24"/>
              </w:rPr>
              <w:t>（二十二）保障公民依法安全用网</w:t>
            </w: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69.落实网络安全责任制，明确管理部门和网信企业的网络安全责任。建立完善统一高效的网络安全风险报告机制、研判处置机制，健全网络安全检查制度。深入开展网络安全责任制落实情况专项督查，进一步压实网络安全工作责任。</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宋体" w:hAnsi="宋体" w:cs="宋体"/>
                <w:sz w:val="24"/>
                <w:szCs w:val="24"/>
              </w:rPr>
            </w:pPr>
            <w:r>
              <w:rPr>
                <w:rFonts w:hint="eastAsia" w:ascii="宋体" w:hAnsi="宋体" w:cs="宋体"/>
                <w:sz w:val="24"/>
                <w:szCs w:val="24"/>
              </w:rPr>
              <w:t>政数局</w:t>
            </w:r>
          </w:p>
          <w:p>
            <w:pPr>
              <w:widowControl/>
              <w:spacing w:line="220" w:lineRule="exact"/>
              <w:jc w:val="center"/>
              <w:textAlignment w:val="center"/>
              <w:rPr>
                <w:rFonts w:ascii="宋体" w:hAnsi="宋体" w:cs="宋体"/>
                <w:sz w:val="24"/>
                <w:szCs w:val="24"/>
              </w:rPr>
            </w:pPr>
            <w:r>
              <w:rPr>
                <w:rFonts w:hint="eastAsia" w:ascii="宋体" w:hAnsi="宋体" w:cs="宋体"/>
                <w:sz w:val="24"/>
                <w:szCs w:val="24"/>
              </w:rPr>
              <w:t>公安分局   宣传部</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ascii="宋体" w:hAnsi="宋体" w:cs="宋体"/>
                <w:sz w:val="21"/>
                <w:szCs w:val="21"/>
              </w:rPr>
            </w:pPr>
            <w:r>
              <w:rPr>
                <w:rFonts w:hint="eastAsia" w:ascii="宋体" w:hAnsi="宋体" w:cs="宋体"/>
                <w:sz w:val="21"/>
                <w:szCs w:val="21"/>
              </w:rPr>
              <w:t>党工委办公室</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197"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kern w:val="0"/>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70.严格规范收集使用用户身份、通信内容等个人信息行为。加大对非法获取、泄露、出售、提供公民个人信息等违法犯罪行为的惩处力度。</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textAlignment w:val="center"/>
              <w:rPr>
                <w:rFonts w:ascii="宋体" w:hAnsi="宋体" w:cs="宋体"/>
                <w:kern w:val="0"/>
                <w:sz w:val="24"/>
                <w:szCs w:val="24"/>
              </w:rPr>
            </w:pPr>
          </w:p>
          <w:p>
            <w:pPr>
              <w:widowControl/>
              <w:spacing w:line="220" w:lineRule="exact"/>
              <w:jc w:val="center"/>
              <w:textAlignment w:val="center"/>
              <w:rPr>
                <w:rFonts w:ascii="宋体" w:hAnsi="宋体" w:cs="宋体"/>
                <w:kern w:val="0"/>
                <w:sz w:val="24"/>
                <w:szCs w:val="24"/>
              </w:rPr>
            </w:pPr>
            <w:r>
              <w:rPr>
                <w:rFonts w:hint="eastAsia" w:ascii="宋体" w:hAnsi="宋体" w:cs="宋体"/>
                <w:kern w:val="0"/>
                <w:sz w:val="24"/>
                <w:szCs w:val="24"/>
              </w:rPr>
              <w:t>公安分局   宣传部</w:t>
            </w:r>
          </w:p>
          <w:p>
            <w:pPr>
              <w:widowControl/>
              <w:spacing w:line="220" w:lineRule="exact"/>
              <w:jc w:val="center"/>
              <w:textAlignment w:val="center"/>
              <w:rPr>
                <w:rFonts w:ascii="宋体" w:hAnsi="宋体" w:cs="宋体"/>
                <w:kern w:val="0"/>
                <w:sz w:val="24"/>
                <w:szCs w:val="24"/>
              </w:rPr>
            </w:pPr>
            <w:r>
              <w:rPr>
                <w:rFonts w:hint="eastAsia" w:ascii="宋体" w:hAnsi="宋体" w:cs="宋体"/>
                <w:kern w:val="0"/>
                <w:sz w:val="24"/>
                <w:szCs w:val="24"/>
              </w:rPr>
              <w:t>市场监管分局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宋体" w:hAnsi="宋体" w:cs="宋体"/>
                <w:kern w:val="0"/>
                <w:sz w:val="21"/>
                <w:szCs w:val="21"/>
              </w:rPr>
            </w:pPr>
            <w:r>
              <w:rPr>
                <w:rFonts w:hint="eastAsia" w:ascii="宋体" w:hAnsi="宋体" w:cs="宋体"/>
                <w:kern w:val="0"/>
                <w:sz w:val="21"/>
                <w:szCs w:val="21"/>
              </w:rPr>
              <w:t>检察室、党工委办公室</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kern w:val="0"/>
                <w:szCs w:val="21"/>
              </w:rPr>
            </w:pPr>
          </w:p>
        </w:tc>
      </w:tr>
      <w:tr>
        <w:tblPrEx>
          <w:tblCellMar>
            <w:top w:w="0" w:type="dxa"/>
            <w:left w:w="0" w:type="dxa"/>
            <w:bottom w:w="0" w:type="dxa"/>
            <w:right w:w="0" w:type="dxa"/>
          </w:tblCellMar>
        </w:tblPrEx>
        <w:trPr>
          <w:trHeight w:val="1157"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right w:val="single" w:color="auto" w:sz="4" w:space="0"/>
            </w:tcBorders>
            <w:vAlign w:val="center"/>
          </w:tcPr>
          <w:p>
            <w:pPr>
              <w:widowControl/>
              <w:spacing w:line="300" w:lineRule="exact"/>
              <w:jc w:val="left"/>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71.督促网信企业落实主体责任，履行法律规定的安全管理责任。支持网信企业建立健全行业规范和行业自律制度，引导网信企业牢固树立“法律红线不能触碰、法律底线不能逾越”的意识。</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宋体" w:hAnsi="宋体" w:cs="宋体"/>
                <w:kern w:val="0"/>
                <w:sz w:val="24"/>
                <w:szCs w:val="24"/>
              </w:rPr>
            </w:pPr>
            <w:r>
              <w:rPr>
                <w:rFonts w:hint="eastAsia" w:ascii="宋体" w:hAnsi="宋体" w:cs="宋体"/>
                <w:kern w:val="0"/>
                <w:sz w:val="24"/>
                <w:szCs w:val="24"/>
              </w:rPr>
              <w:t>公安分局   政数局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textAlignment w:val="center"/>
              <w:rPr>
                <w:rFonts w:ascii="宋体" w:hAnsi="宋体" w:cs="宋体"/>
                <w:sz w:val="21"/>
                <w:szCs w:val="21"/>
              </w:rPr>
            </w:pPr>
            <w:r>
              <w:rPr>
                <w:rFonts w:hint="eastAsia" w:ascii="宋体" w:hAnsi="宋体" w:cs="宋体"/>
                <w:sz w:val="21"/>
                <w:szCs w:val="21"/>
              </w:rPr>
              <w:t>市场监管分局、工商联</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087" w:hRule="atLeast"/>
          <w:jc w:val="center"/>
        </w:trPr>
        <w:tc>
          <w:tcPr>
            <w:tcW w:w="181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72.健全网络与信息突发安全事件应急机制，落实属地责任和主体责任，强化网络信息安全情报共享，加强网络信息安全突发事件应对处置工作。</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宋体" w:hAnsi="宋体" w:cs="宋体"/>
                <w:kern w:val="0"/>
                <w:sz w:val="24"/>
                <w:szCs w:val="24"/>
              </w:rPr>
            </w:pPr>
            <w:r>
              <w:rPr>
                <w:rFonts w:hint="eastAsia" w:ascii="宋体" w:hAnsi="宋体" w:cs="宋体"/>
                <w:kern w:val="0"/>
                <w:sz w:val="24"/>
                <w:szCs w:val="24"/>
              </w:rPr>
              <w:t>政数局     公安分局</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ind w:firstLine="315" w:firstLineChars="150"/>
              <w:jc w:val="left"/>
              <w:rPr>
                <w:rFonts w:ascii="宋体" w:hAnsi="宋体" w:cs="宋体"/>
                <w:sz w:val="21"/>
                <w:szCs w:val="21"/>
              </w:rPr>
            </w:pPr>
            <w:r>
              <w:rPr>
                <w:rFonts w:hint="eastAsia" w:ascii="宋体" w:hAnsi="宋体" w:cs="宋体"/>
                <w:sz w:val="21"/>
                <w:szCs w:val="21"/>
              </w:rPr>
              <w:t>宣传部</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r>
        <w:tblPrEx>
          <w:tblCellMar>
            <w:top w:w="0" w:type="dxa"/>
            <w:left w:w="0" w:type="dxa"/>
            <w:bottom w:w="0" w:type="dxa"/>
            <w:right w:w="0" w:type="dxa"/>
          </w:tblCellMar>
        </w:tblPrEx>
        <w:trPr>
          <w:trHeight w:val="1073" w:hRule="atLeast"/>
          <w:jc w:val="center"/>
        </w:trPr>
        <w:tc>
          <w:tcPr>
            <w:tcW w:w="1819" w:type="dxa"/>
            <w:vMerge w:val="continue"/>
            <w:tcBorders>
              <w:left w:val="single" w:color="auto" w:sz="4" w:space="0"/>
              <w:bottom w:val="single" w:color="auto" w:sz="4" w:space="0"/>
              <w:right w:val="single" w:color="auto" w:sz="4" w:space="0"/>
            </w:tcBorders>
            <w:vAlign w:val="center"/>
          </w:tcPr>
          <w:p>
            <w:pPr>
              <w:widowControl/>
              <w:spacing w:line="300" w:lineRule="exact"/>
              <w:rPr>
                <w:rFonts w:ascii="楷体_GB2312" w:hAnsi="楷体_GB2312" w:eastAsia="楷体_GB2312" w:cs="楷体_GB2312"/>
                <w:sz w:val="24"/>
                <w:szCs w:val="24"/>
              </w:rPr>
            </w:pPr>
          </w:p>
        </w:tc>
        <w:tc>
          <w:tcPr>
            <w:tcW w:w="2409" w:type="dxa"/>
            <w:vMerge w:val="continue"/>
            <w:tcBorders>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 w:val="24"/>
                <w:szCs w:val="24"/>
              </w:rPr>
            </w:pPr>
          </w:p>
        </w:tc>
        <w:tc>
          <w:tcPr>
            <w:tcW w:w="708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24"/>
                <w:szCs w:val="24"/>
              </w:rPr>
            </w:pPr>
            <w:r>
              <w:rPr>
                <w:rFonts w:hint="eastAsia" w:ascii="宋体" w:hAnsi="宋体" w:cs="宋体"/>
                <w:sz w:val="24"/>
                <w:szCs w:val="24"/>
              </w:rPr>
              <w:t>73.完善网络安全和信息化执法联动机制，加强网络违法犯罪监控和查处能力建设，依法查处和打击网络金融犯罪、网络侵权、网络诽谤、网络诈骗、网络色情、攻击窃密等违法犯罪行为.</w:t>
            </w:r>
          </w:p>
        </w:tc>
        <w:tc>
          <w:tcPr>
            <w:tcW w:w="1513"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textAlignment w:val="center"/>
              <w:rPr>
                <w:rFonts w:ascii="宋体" w:hAnsi="宋体" w:cs="宋体"/>
                <w:kern w:val="0"/>
                <w:sz w:val="24"/>
                <w:szCs w:val="24"/>
              </w:rPr>
            </w:pPr>
            <w:r>
              <w:rPr>
                <w:rFonts w:hint="eastAsia" w:ascii="宋体" w:hAnsi="宋体" w:cs="宋体"/>
                <w:kern w:val="0"/>
                <w:sz w:val="24"/>
                <w:szCs w:val="24"/>
              </w:rPr>
              <w:t>公安分局</w:t>
            </w:r>
          </w:p>
          <w:p>
            <w:pPr>
              <w:widowControl/>
              <w:spacing w:line="220" w:lineRule="exact"/>
              <w:jc w:val="center"/>
              <w:textAlignment w:val="center"/>
              <w:rPr>
                <w:rFonts w:ascii="宋体" w:hAnsi="宋体" w:cs="宋体"/>
                <w:kern w:val="0"/>
                <w:sz w:val="24"/>
                <w:szCs w:val="24"/>
              </w:rPr>
            </w:pPr>
            <w:r>
              <w:rPr>
                <w:rFonts w:hint="eastAsia" w:ascii="宋体" w:hAnsi="宋体" w:cs="宋体"/>
                <w:kern w:val="0"/>
                <w:sz w:val="24"/>
                <w:szCs w:val="24"/>
              </w:rPr>
              <w:t xml:space="preserve">宣传部     </w:t>
            </w:r>
          </w:p>
        </w:tc>
        <w:tc>
          <w:tcPr>
            <w:tcW w:w="1570" w:type="dxa"/>
            <w:tcBorders>
              <w:top w:val="single" w:color="auto" w:sz="4" w:space="0"/>
              <w:left w:val="single" w:color="auto" w:sz="4" w:space="0"/>
              <w:bottom w:val="single" w:color="auto" w:sz="4" w:space="0"/>
              <w:right w:val="single" w:color="auto" w:sz="4" w:space="0"/>
            </w:tcBorders>
            <w:vAlign w:val="center"/>
          </w:tcPr>
          <w:p>
            <w:pPr>
              <w:widowControl/>
              <w:spacing w:line="220" w:lineRule="exact"/>
              <w:jc w:val="left"/>
              <w:rPr>
                <w:rFonts w:ascii="宋体" w:hAnsi="宋体" w:cs="宋体"/>
                <w:sz w:val="21"/>
                <w:szCs w:val="21"/>
              </w:rPr>
            </w:pPr>
            <w:r>
              <w:rPr>
                <w:rFonts w:hint="eastAsia" w:ascii="宋体" w:hAnsi="宋体" w:cs="宋体"/>
                <w:sz w:val="21"/>
                <w:szCs w:val="21"/>
              </w:rPr>
              <w:t>检察室、文体旅科局、市场监管分局、金融办</w:t>
            </w:r>
          </w:p>
        </w:tc>
        <w:tc>
          <w:tcPr>
            <w:tcW w:w="130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textAlignment w:val="center"/>
              <w:rPr>
                <w:rFonts w:ascii="宋体" w:hAnsi="宋体" w:cs="宋体"/>
                <w:szCs w:val="21"/>
              </w:rPr>
            </w:pPr>
          </w:p>
        </w:tc>
      </w:tr>
    </w:tbl>
    <w:p>
      <w:pPr>
        <w:pStyle w:val="2"/>
        <w:ind w:left="0"/>
      </w:pPr>
      <w:bookmarkStart w:id="0" w:name="_GoBack"/>
      <w:bookmarkEnd w:id="0"/>
    </w:p>
    <w:sectPr>
      <w:pgSz w:w="16838" w:h="11906" w:orient="landscape"/>
      <w:pgMar w:top="1588" w:right="2098" w:bottom="1474" w:left="1985" w:header="851" w:footer="1418" w:gutter="0"/>
      <w:pgNumType w:fmt="numberInDash"/>
      <w:cols w:space="0" w:num="1"/>
      <w:docGrid w:type="lines" w:linePitch="634" w:charSpace="-47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HorizontalSpacing w:val="297"/>
  <w:drawingGridVerticalSpacing w:val="317"/>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771FD4"/>
    <w:rsid w:val="00011181"/>
    <w:rsid w:val="000151AE"/>
    <w:rsid w:val="00027348"/>
    <w:rsid w:val="00032D3A"/>
    <w:rsid w:val="00034AD1"/>
    <w:rsid w:val="000353F6"/>
    <w:rsid w:val="00047D0F"/>
    <w:rsid w:val="00050CC0"/>
    <w:rsid w:val="00061694"/>
    <w:rsid w:val="000A25A1"/>
    <w:rsid w:val="000C4335"/>
    <w:rsid w:val="000C446E"/>
    <w:rsid w:val="000E0719"/>
    <w:rsid w:val="000F1386"/>
    <w:rsid w:val="0010091A"/>
    <w:rsid w:val="001149AC"/>
    <w:rsid w:val="001174CB"/>
    <w:rsid w:val="0012448E"/>
    <w:rsid w:val="00136EC0"/>
    <w:rsid w:val="00147756"/>
    <w:rsid w:val="001846E8"/>
    <w:rsid w:val="00190184"/>
    <w:rsid w:val="00196ABA"/>
    <w:rsid w:val="001A19B1"/>
    <w:rsid w:val="001A3252"/>
    <w:rsid w:val="001E0E97"/>
    <w:rsid w:val="001E553B"/>
    <w:rsid w:val="001F33B3"/>
    <w:rsid w:val="001F3953"/>
    <w:rsid w:val="00210A10"/>
    <w:rsid w:val="00241B73"/>
    <w:rsid w:val="00243690"/>
    <w:rsid w:val="00250A8A"/>
    <w:rsid w:val="00252544"/>
    <w:rsid w:val="002559B8"/>
    <w:rsid w:val="002602B1"/>
    <w:rsid w:val="00273347"/>
    <w:rsid w:val="00276B5C"/>
    <w:rsid w:val="00291BAA"/>
    <w:rsid w:val="002A03B3"/>
    <w:rsid w:val="002B08BA"/>
    <w:rsid w:val="002B4256"/>
    <w:rsid w:val="002B5016"/>
    <w:rsid w:val="002C4623"/>
    <w:rsid w:val="003025B2"/>
    <w:rsid w:val="003300A1"/>
    <w:rsid w:val="00330B46"/>
    <w:rsid w:val="00331079"/>
    <w:rsid w:val="00332142"/>
    <w:rsid w:val="00332519"/>
    <w:rsid w:val="00343CD1"/>
    <w:rsid w:val="003513A6"/>
    <w:rsid w:val="00357D79"/>
    <w:rsid w:val="0036429A"/>
    <w:rsid w:val="00367CE9"/>
    <w:rsid w:val="00380622"/>
    <w:rsid w:val="003B5566"/>
    <w:rsid w:val="003D08EC"/>
    <w:rsid w:val="003E3687"/>
    <w:rsid w:val="003E62BF"/>
    <w:rsid w:val="00425CFC"/>
    <w:rsid w:val="00426850"/>
    <w:rsid w:val="00434232"/>
    <w:rsid w:val="004354B6"/>
    <w:rsid w:val="0044386A"/>
    <w:rsid w:val="00456A84"/>
    <w:rsid w:val="00456D5A"/>
    <w:rsid w:val="004871C9"/>
    <w:rsid w:val="00487FE5"/>
    <w:rsid w:val="004D143E"/>
    <w:rsid w:val="004D6BA5"/>
    <w:rsid w:val="004F436A"/>
    <w:rsid w:val="00567342"/>
    <w:rsid w:val="00584ED6"/>
    <w:rsid w:val="00593C2E"/>
    <w:rsid w:val="005B4B9F"/>
    <w:rsid w:val="00611DBB"/>
    <w:rsid w:val="006C427A"/>
    <w:rsid w:val="006F0553"/>
    <w:rsid w:val="006F5F7F"/>
    <w:rsid w:val="00727870"/>
    <w:rsid w:val="007455A1"/>
    <w:rsid w:val="00773AFD"/>
    <w:rsid w:val="007800BB"/>
    <w:rsid w:val="0079050B"/>
    <w:rsid w:val="00790E28"/>
    <w:rsid w:val="00793EF3"/>
    <w:rsid w:val="007A6973"/>
    <w:rsid w:val="007C224F"/>
    <w:rsid w:val="007C226B"/>
    <w:rsid w:val="007C2F7C"/>
    <w:rsid w:val="007D0042"/>
    <w:rsid w:val="007D5192"/>
    <w:rsid w:val="007D6D6B"/>
    <w:rsid w:val="007F1C04"/>
    <w:rsid w:val="007F1EAD"/>
    <w:rsid w:val="007F3B1D"/>
    <w:rsid w:val="008138F3"/>
    <w:rsid w:val="0082146E"/>
    <w:rsid w:val="00821DE4"/>
    <w:rsid w:val="008252B6"/>
    <w:rsid w:val="008402FF"/>
    <w:rsid w:val="00855378"/>
    <w:rsid w:val="008635C9"/>
    <w:rsid w:val="00887F42"/>
    <w:rsid w:val="008903B8"/>
    <w:rsid w:val="008A1BEA"/>
    <w:rsid w:val="008B2CAB"/>
    <w:rsid w:val="008C356F"/>
    <w:rsid w:val="008C46C9"/>
    <w:rsid w:val="008D55E1"/>
    <w:rsid w:val="008E09FB"/>
    <w:rsid w:val="008F2C04"/>
    <w:rsid w:val="008F7C1C"/>
    <w:rsid w:val="00941257"/>
    <w:rsid w:val="00972215"/>
    <w:rsid w:val="00985B18"/>
    <w:rsid w:val="009F497E"/>
    <w:rsid w:val="00A1049F"/>
    <w:rsid w:val="00A220ED"/>
    <w:rsid w:val="00A31D49"/>
    <w:rsid w:val="00A32813"/>
    <w:rsid w:val="00A3396D"/>
    <w:rsid w:val="00A37491"/>
    <w:rsid w:val="00A554CA"/>
    <w:rsid w:val="00A83B48"/>
    <w:rsid w:val="00A851E3"/>
    <w:rsid w:val="00A85AD7"/>
    <w:rsid w:val="00B05EE2"/>
    <w:rsid w:val="00B41DC7"/>
    <w:rsid w:val="00B864E4"/>
    <w:rsid w:val="00B954EC"/>
    <w:rsid w:val="00BA796F"/>
    <w:rsid w:val="00BB0ABB"/>
    <w:rsid w:val="00BB4A5B"/>
    <w:rsid w:val="00BB6799"/>
    <w:rsid w:val="00BB7CC4"/>
    <w:rsid w:val="00BC3F20"/>
    <w:rsid w:val="00BC7795"/>
    <w:rsid w:val="00BD07AB"/>
    <w:rsid w:val="00BD11CE"/>
    <w:rsid w:val="00BD3697"/>
    <w:rsid w:val="00BE71DD"/>
    <w:rsid w:val="00C0069A"/>
    <w:rsid w:val="00C403FF"/>
    <w:rsid w:val="00C6033E"/>
    <w:rsid w:val="00C80529"/>
    <w:rsid w:val="00C828EE"/>
    <w:rsid w:val="00C95621"/>
    <w:rsid w:val="00CA0E6C"/>
    <w:rsid w:val="00CA3702"/>
    <w:rsid w:val="00CC39BE"/>
    <w:rsid w:val="00CD6EA1"/>
    <w:rsid w:val="00CF62A0"/>
    <w:rsid w:val="00D038EA"/>
    <w:rsid w:val="00D10954"/>
    <w:rsid w:val="00D1391C"/>
    <w:rsid w:val="00D22E6A"/>
    <w:rsid w:val="00D72882"/>
    <w:rsid w:val="00D904FD"/>
    <w:rsid w:val="00DA2740"/>
    <w:rsid w:val="00DA5080"/>
    <w:rsid w:val="00DB0667"/>
    <w:rsid w:val="00DB3623"/>
    <w:rsid w:val="00DB4393"/>
    <w:rsid w:val="00DD6F6B"/>
    <w:rsid w:val="00DE03E6"/>
    <w:rsid w:val="00E21642"/>
    <w:rsid w:val="00E22AF0"/>
    <w:rsid w:val="00E30EB7"/>
    <w:rsid w:val="00E43FE1"/>
    <w:rsid w:val="00E5149D"/>
    <w:rsid w:val="00E55707"/>
    <w:rsid w:val="00E57D46"/>
    <w:rsid w:val="00E650CD"/>
    <w:rsid w:val="00E82F98"/>
    <w:rsid w:val="00EB340F"/>
    <w:rsid w:val="00EC6121"/>
    <w:rsid w:val="00ED3BB9"/>
    <w:rsid w:val="00EF397B"/>
    <w:rsid w:val="00F3149F"/>
    <w:rsid w:val="00F530DD"/>
    <w:rsid w:val="00F60068"/>
    <w:rsid w:val="00F64670"/>
    <w:rsid w:val="00F817A9"/>
    <w:rsid w:val="018D1071"/>
    <w:rsid w:val="01A806BB"/>
    <w:rsid w:val="01FF2560"/>
    <w:rsid w:val="026503DD"/>
    <w:rsid w:val="02862ECB"/>
    <w:rsid w:val="02E5046C"/>
    <w:rsid w:val="02EF6CA5"/>
    <w:rsid w:val="02F8072A"/>
    <w:rsid w:val="03142648"/>
    <w:rsid w:val="03681621"/>
    <w:rsid w:val="036B5701"/>
    <w:rsid w:val="03BA32FE"/>
    <w:rsid w:val="03D006DB"/>
    <w:rsid w:val="03FD1FB7"/>
    <w:rsid w:val="04002579"/>
    <w:rsid w:val="04FE46F5"/>
    <w:rsid w:val="059B269B"/>
    <w:rsid w:val="05BE7C26"/>
    <w:rsid w:val="061014E9"/>
    <w:rsid w:val="0676246A"/>
    <w:rsid w:val="0678665E"/>
    <w:rsid w:val="06A42EC5"/>
    <w:rsid w:val="06BF6167"/>
    <w:rsid w:val="06BF752F"/>
    <w:rsid w:val="072050FE"/>
    <w:rsid w:val="07307C2F"/>
    <w:rsid w:val="07444E5B"/>
    <w:rsid w:val="075A65A8"/>
    <w:rsid w:val="07B45931"/>
    <w:rsid w:val="07DB2D15"/>
    <w:rsid w:val="07F814B4"/>
    <w:rsid w:val="086D1F9A"/>
    <w:rsid w:val="088256AD"/>
    <w:rsid w:val="0A4775CC"/>
    <w:rsid w:val="0A861AA8"/>
    <w:rsid w:val="0A9A53DF"/>
    <w:rsid w:val="0B5C1672"/>
    <w:rsid w:val="0B6358B0"/>
    <w:rsid w:val="0B744541"/>
    <w:rsid w:val="0BB11B83"/>
    <w:rsid w:val="0BBA5186"/>
    <w:rsid w:val="0BBD0BF3"/>
    <w:rsid w:val="0C207F46"/>
    <w:rsid w:val="0C4B7A19"/>
    <w:rsid w:val="0D3342D5"/>
    <w:rsid w:val="0D8A78B2"/>
    <w:rsid w:val="0DF844EE"/>
    <w:rsid w:val="0DFB6590"/>
    <w:rsid w:val="0E1C3FCF"/>
    <w:rsid w:val="0E4A5108"/>
    <w:rsid w:val="0E5818AE"/>
    <w:rsid w:val="0E6D1A17"/>
    <w:rsid w:val="0F0C7A00"/>
    <w:rsid w:val="0F187946"/>
    <w:rsid w:val="0F470890"/>
    <w:rsid w:val="0F4C68B7"/>
    <w:rsid w:val="0F5D6423"/>
    <w:rsid w:val="0F8C226B"/>
    <w:rsid w:val="10A60D57"/>
    <w:rsid w:val="10BA2412"/>
    <w:rsid w:val="11163655"/>
    <w:rsid w:val="111E57D4"/>
    <w:rsid w:val="1147417D"/>
    <w:rsid w:val="116B4BE7"/>
    <w:rsid w:val="11943F07"/>
    <w:rsid w:val="11BF16AD"/>
    <w:rsid w:val="122C33B5"/>
    <w:rsid w:val="123C60A2"/>
    <w:rsid w:val="12497E0D"/>
    <w:rsid w:val="12627893"/>
    <w:rsid w:val="12F14F60"/>
    <w:rsid w:val="13224B8F"/>
    <w:rsid w:val="13255351"/>
    <w:rsid w:val="133F23B1"/>
    <w:rsid w:val="13513F4A"/>
    <w:rsid w:val="13CC7385"/>
    <w:rsid w:val="141203B9"/>
    <w:rsid w:val="14711B87"/>
    <w:rsid w:val="14D85EBB"/>
    <w:rsid w:val="15532231"/>
    <w:rsid w:val="15733F99"/>
    <w:rsid w:val="157F6EB1"/>
    <w:rsid w:val="16215EA9"/>
    <w:rsid w:val="164E742C"/>
    <w:rsid w:val="1687445D"/>
    <w:rsid w:val="16AB1DB8"/>
    <w:rsid w:val="1709502A"/>
    <w:rsid w:val="174D4933"/>
    <w:rsid w:val="176F301E"/>
    <w:rsid w:val="177069F5"/>
    <w:rsid w:val="17C101DE"/>
    <w:rsid w:val="17C42BE6"/>
    <w:rsid w:val="181531C4"/>
    <w:rsid w:val="18485EF3"/>
    <w:rsid w:val="18BD7D9B"/>
    <w:rsid w:val="18C06B2E"/>
    <w:rsid w:val="18CF5A6C"/>
    <w:rsid w:val="18F056A4"/>
    <w:rsid w:val="191E1425"/>
    <w:rsid w:val="193D11CF"/>
    <w:rsid w:val="19832B2B"/>
    <w:rsid w:val="19C3688B"/>
    <w:rsid w:val="1A156511"/>
    <w:rsid w:val="1A7619DE"/>
    <w:rsid w:val="1A7B5F39"/>
    <w:rsid w:val="1A8832E6"/>
    <w:rsid w:val="1AAA587F"/>
    <w:rsid w:val="1AB072BF"/>
    <w:rsid w:val="1ADD1C9E"/>
    <w:rsid w:val="1AF64DEF"/>
    <w:rsid w:val="1B243827"/>
    <w:rsid w:val="1B912DA6"/>
    <w:rsid w:val="1BC53506"/>
    <w:rsid w:val="1BCB5606"/>
    <w:rsid w:val="1BD2087E"/>
    <w:rsid w:val="1BF82903"/>
    <w:rsid w:val="1C882538"/>
    <w:rsid w:val="1D521CE1"/>
    <w:rsid w:val="1DAB58C6"/>
    <w:rsid w:val="1DC02BCE"/>
    <w:rsid w:val="1DCD7919"/>
    <w:rsid w:val="1E0E05BB"/>
    <w:rsid w:val="1E541663"/>
    <w:rsid w:val="1E8A085B"/>
    <w:rsid w:val="1EBF7C29"/>
    <w:rsid w:val="1EDD2043"/>
    <w:rsid w:val="1F2C0844"/>
    <w:rsid w:val="1F3801FF"/>
    <w:rsid w:val="1F5104F7"/>
    <w:rsid w:val="1FD92A6A"/>
    <w:rsid w:val="1FF5498E"/>
    <w:rsid w:val="20111B06"/>
    <w:rsid w:val="201E0BFF"/>
    <w:rsid w:val="214E74F0"/>
    <w:rsid w:val="21575A81"/>
    <w:rsid w:val="216E103F"/>
    <w:rsid w:val="21801686"/>
    <w:rsid w:val="21881EC4"/>
    <w:rsid w:val="218D7338"/>
    <w:rsid w:val="21961841"/>
    <w:rsid w:val="21B70D8A"/>
    <w:rsid w:val="21FA4D4B"/>
    <w:rsid w:val="22836DDD"/>
    <w:rsid w:val="22C409B4"/>
    <w:rsid w:val="22DE3514"/>
    <w:rsid w:val="233B172E"/>
    <w:rsid w:val="23622003"/>
    <w:rsid w:val="240D1C07"/>
    <w:rsid w:val="24B263E7"/>
    <w:rsid w:val="24B33486"/>
    <w:rsid w:val="24BB40CA"/>
    <w:rsid w:val="24EF1FC5"/>
    <w:rsid w:val="253040C4"/>
    <w:rsid w:val="25567CC9"/>
    <w:rsid w:val="255C63DA"/>
    <w:rsid w:val="25C74EAD"/>
    <w:rsid w:val="26140DF4"/>
    <w:rsid w:val="266F3464"/>
    <w:rsid w:val="26C12358"/>
    <w:rsid w:val="26E77B0D"/>
    <w:rsid w:val="27005DEA"/>
    <w:rsid w:val="273F7749"/>
    <w:rsid w:val="275E30B0"/>
    <w:rsid w:val="27A921FD"/>
    <w:rsid w:val="27B344C0"/>
    <w:rsid w:val="27B828A7"/>
    <w:rsid w:val="27E1107F"/>
    <w:rsid w:val="27EC3333"/>
    <w:rsid w:val="27F2579D"/>
    <w:rsid w:val="28137504"/>
    <w:rsid w:val="28217F53"/>
    <w:rsid w:val="28F97991"/>
    <w:rsid w:val="29053504"/>
    <w:rsid w:val="290945E4"/>
    <w:rsid w:val="29232BF7"/>
    <w:rsid w:val="29246927"/>
    <w:rsid w:val="299D37F1"/>
    <w:rsid w:val="29AC5EAC"/>
    <w:rsid w:val="29B23C17"/>
    <w:rsid w:val="29E20EAB"/>
    <w:rsid w:val="2A335D40"/>
    <w:rsid w:val="2A3C4206"/>
    <w:rsid w:val="2A58202B"/>
    <w:rsid w:val="2B157113"/>
    <w:rsid w:val="2B186FAC"/>
    <w:rsid w:val="2B44742D"/>
    <w:rsid w:val="2B6B5D10"/>
    <w:rsid w:val="2C145A31"/>
    <w:rsid w:val="2C507B75"/>
    <w:rsid w:val="2C597528"/>
    <w:rsid w:val="2C7F2CBF"/>
    <w:rsid w:val="2D1151A8"/>
    <w:rsid w:val="2D3D51A9"/>
    <w:rsid w:val="2D464F98"/>
    <w:rsid w:val="2D4E071E"/>
    <w:rsid w:val="2D57511F"/>
    <w:rsid w:val="2D6902DB"/>
    <w:rsid w:val="2D732D11"/>
    <w:rsid w:val="2D942C20"/>
    <w:rsid w:val="2DB565B9"/>
    <w:rsid w:val="2E0C603E"/>
    <w:rsid w:val="2E727B80"/>
    <w:rsid w:val="2E850B21"/>
    <w:rsid w:val="2F1D61C2"/>
    <w:rsid w:val="2FA41877"/>
    <w:rsid w:val="2FCA429E"/>
    <w:rsid w:val="305D0A54"/>
    <w:rsid w:val="307E0F7C"/>
    <w:rsid w:val="307F7C6F"/>
    <w:rsid w:val="30C02015"/>
    <w:rsid w:val="31511DA3"/>
    <w:rsid w:val="31771FD4"/>
    <w:rsid w:val="31845187"/>
    <w:rsid w:val="3194764C"/>
    <w:rsid w:val="31F80CC9"/>
    <w:rsid w:val="320C3AE8"/>
    <w:rsid w:val="324D7BC7"/>
    <w:rsid w:val="3270195B"/>
    <w:rsid w:val="32810EFF"/>
    <w:rsid w:val="329A2463"/>
    <w:rsid w:val="32DA68F8"/>
    <w:rsid w:val="32E5634A"/>
    <w:rsid w:val="32F87A17"/>
    <w:rsid w:val="33254ADF"/>
    <w:rsid w:val="33C60F4A"/>
    <w:rsid w:val="348B4F4A"/>
    <w:rsid w:val="34B371FD"/>
    <w:rsid w:val="354A39CD"/>
    <w:rsid w:val="356514D0"/>
    <w:rsid w:val="35BB2645"/>
    <w:rsid w:val="35EE5BC0"/>
    <w:rsid w:val="361F201F"/>
    <w:rsid w:val="36382405"/>
    <w:rsid w:val="36402B17"/>
    <w:rsid w:val="376923A0"/>
    <w:rsid w:val="3782432C"/>
    <w:rsid w:val="37A66995"/>
    <w:rsid w:val="37AD11EB"/>
    <w:rsid w:val="385076E6"/>
    <w:rsid w:val="38D95832"/>
    <w:rsid w:val="39190594"/>
    <w:rsid w:val="39802596"/>
    <w:rsid w:val="39B97392"/>
    <w:rsid w:val="3A0050AB"/>
    <w:rsid w:val="3A17281F"/>
    <w:rsid w:val="3A196D3E"/>
    <w:rsid w:val="3A457DDA"/>
    <w:rsid w:val="3A4F3F2B"/>
    <w:rsid w:val="3A68102A"/>
    <w:rsid w:val="3AF0211C"/>
    <w:rsid w:val="3B0D65F7"/>
    <w:rsid w:val="3BBD27CA"/>
    <w:rsid w:val="3BFE6E16"/>
    <w:rsid w:val="3C5108ED"/>
    <w:rsid w:val="3C51716C"/>
    <w:rsid w:val="3C685998"/>
    <w:rsid w:val="3C743BEF"/>
    <w:rsid w:val="3CCE1AB7"/>
    <w:rsid w:val="3CE74987"/>
    <w:rsid w:val="3CF6753C"/>
    <w:rsid w:val="3D796B95"/>
    <w:rsid w:val="3D910704"/>
    <w:rsid w:val="3D924E6C"/>
    <w:rsid w:val="3DB77081"/>
    <w:rsid w:val="3DE81D7D"/>
    <w:rsid w:val="3DF244B1"/>
    <w:rsid w:val="3E1752D1"/>
    <w:rsid w:val="3E7B2BCA"/>
    <w:rsid w:val="3F0C4E21"/>
    <w:rsid w:val="3F5540B6"/>
    <w:rsid w:val="3F574682"/>
    <w:rsid w:val="3F9D41BE"/>
    <w:rsid w:val="3FB30020"/>
    <w:rsid w:val="4030372A"/>
    <w:rsid w:val="40EA184F"/>
    <w:rsid w:val="4103587A"/>
    <w:rsid w:val="4104144F"/>
    <w:rsid w:val="416E155F"/>
    <w:rsid w:val="416E42E8"/>
    <w:rsid w:val="417E3906"/>
    <w:rsid w:val="41850BC2"/>
    <w:rsid w:val="419B42C9"/>
    <w:rsid w:val="41A02C77"/>
    <w:rsid w:val="41A35B95"/>
    <w:rsid w:val="41BE754F"/>
    <w:rsid w:val="41D75CC3"/>
    <w:rsid w:val="41F13A90"/>
    <w:rsid w:val="429E6FDE"/>
    <w:rsid w:val="42EF60BB"/>
    <w:rsid w:val="436F7423"/>
    <w:rsid w:val="43756E50"/>
    <w:rsid w:val="439245D0"/>
    <w:rsid w:val="43931BD5"/>
    <w:rsid w:val="43CE1CEA"/>
    <w:rsid w:val="441A62E0"/>
    <w:rsid w:val="442461B9"/>
    <w:rsid w:val="442F65F4"/>
    <w:rsid w:val="447C6603"/>
    <w:rsid w:val="44AA3BF7"/>
    <w:rsid w:val="44C3745A"/>
    <w:rsid w:val="44E44A1D"/>
    <w:rsid w:val="4500289E"/>
    <w:rsid w:val="45673D43"/>
    <w:rsid w:val="457E4176"/>
    <w:rsid w:val="45A46382"/>
    <w:rsid w:val="45AC6E09"/>
    <w:rsid w:val="45FB3104"/>
    <w:rsid w:val="464735E5"/>
    <w:rsid w:val="46661A65"/>
    <w:rsid w:val="468230EC"/>
    <w:rsid w:val="46F65CE8"/>
    <w:rsid w:val="47046536"/>
    <w:rsid w:val="471A3E43"/>
    <w:rsid w:val="47512AAB"/>
    <w:rsid w:val="47BE43BF"/>
    <w:rsid w:val="47C14343"/>
    <w:rsid w:val="47E74307"/>
    <w:rsid w:val="47FA631A"/>
    <w:rsid w:val="482639F0"/>
    <w:rsid w:val="484D0605"/>
    <w:rsid w:val="48A43939"/>
    <w:rsid w:val="48C47628"/>
    <w:rsid w:val="48D67795"/>
    <w:rsid w:val="48DE584F"/>
    <w:rsid w:val="491E790D"/>
    <w:rsid w:val="49864BAB"/>
    <w:rsid w:val="49CC6DC0"/>
    <w:rsid w:val="49D11165"/>
    <w:rsid w:val="4A102138"/>
    <w:rsid w:val="4A3B48E7"/>
    <w:rsid w:val="4A537ECF"/>
    <w:rsid w:val="4B4F28E0"/>
    <w:rsid w:val="4B4F3AB3"/>
    <w:rsid w:val="4B636D8A"/>
    <w:rsid w:val="4B71557C"/>
    <w:rsid w:val="4BBC2B4C"/>
    <w:rsid w:val="4BF73EFF"/>
    <w:rsid w:val="4C770530"/>
    <w:rsid w:val="4CAC6FDA"/>
    <w:rsid w:val="4CAD3763"/>
    <w:rsid w:val="4CD00BDF"/>
    <w:rsid w:val="4D027917"/>
    <w:rsid w:val="4D2D2CAE"/>
    <w:rsid w:val="4D707A55"/>
    <w:rsid w:val="4D736A69"/>
    <w:rsid w:val="4D7E4698"/>
    <w:rsid w:val="4DB95489"/>
    <w:rsid w:val="4DBD65BF"/>
    <w:rsid w:val="4DDE64CE"/>
    <w:rsid w:val="4DE158AF"/>
    <w:rsid w:val="4DFE14B7"/>
    <w:rsid w:val="4E4F5E02"/>
    <w:rsid w:val="4E9D664C"/>
    <w:rsid w:val="4EDF2A47"/>
    <w:rsid w:val="4EE462D6"/>
    <w:rsid w:val="4EE661EE"/>
    <w:rsid w:val="4EFF638F"/>
    <w:rsid w:val="4F055E04"/>
    <w:rsid w:val="4F2926DC"/>
    <w:rsid w:val="4FEB70FE"/>
    <w:rsid w:val="501737DD"/>
    <w:rsid w:val="50B65A30"/>
    <w:rsid w:val="50BA482C"/>
    <w:rsid w:val="50F804CC"/>
    <w:rsid w:val="50FE39B8"/>
    <w:rsid w:val="510550BE"/>
    <w:rsid w:val="511414FD"/>
    <w:rsid w:val="51270150"/>
    <w:rsid w:val="516478DD"/>
    <w:rsid w:val="516E381C"/>
    <w:rsid w:val="5183498E"/>
    <w:rsid w:val="51CB4C3A"/>
    <w:rsid w:val="52407A44"/>
    <w:rsid w:val="524D3248"/>
    <w:rsid w:val="525C5B76"/>
    <w:rsid w:val="52970CA9"/>
    <w:rsid w:val="52BB40B1"/>
    <w:rsid w:val="52DD6FCF"/>
    <w:rsid w:val="531A3DA4"/>
    <w:rsid w:val="53BE24D8"/>
    <w:rsid w:val="54071290"/>
    <w:rsid w:val="543016F9"/>
    <w:rsid w:val="54BF77AA"/>
    <w:rsid w:val="54F13C4B"/>
    <w:rsid w:val="550D1929"/>
    <w:rsid w:val="554F380B"/>
    <w:rsid w:val="558249A6"/>
    <w:rsid w:val="558428C5"/>
    <w:rsid w:val="559957C2"/>
    <w:rsid w:val="55B01FF3"/>
    <w:rsid w:val="55F4337C"/>
    <w:rsid w:val="56AB7A86"/>
    <w:rsid w:val="56AC37AC"/>
    <w:rsid w:val="57757362"/>
    <w:rsid w:val="578C0831"/>
    <w:rsid w:val="578E4A4E"/>
    <w:rsid w:val="57A72321"/>
    <w:rsid w:val="585F3679"/>
    <w:rsid w:val="586515BA"/>
    <w:rsid w:val="58864CE8"/>
    <w:rsid w:val="58941319"/>
    <w:rsid w:val="589C3467"/>
    <w:rsid w:val="589F5BB6"/>
    <w:rsid w:val="58BF4FCF"/>
    <w:rsid w:val="592D613D"/>
    <w:rsid w:val="5940136F"/>
    <w:rsid w:val="594E007C"/>
    <w:rsid w:val="594E5E65"/>
    <w:rsid w:val="59680801"/>
    <w:rsid w:val="59692945"/>
    <w:rsid w:val="59A177CE"/>
    <w:rsid w:val="59BB2454"/>
    <w:rsid w:val="59EF09E9"/>
    <w:rsid w:val="5A625E8B"/>
    <w:rsid w:val="5A700089"/>
    <w:rsid w:val="5A824A86"/>
    <w:rsid w:val="5A9B7ED4"/>
    <w:rsid w:val="5AB96E75"/>
    <w:rsid w:val="5ABD7A8D"/>
    <w:rsid w:val="5B0C5506"/>
    <w:rsid w:val="5B7074D5"/>
    <w:rsid w:val="5B725D76"/>
    <w:rsid w:val="5C39232C"/>
    <w:rsid w:val="5C5F084A"/>
    <w:rsid w:val="5CD20258"/>
    <w:rsid w:val="5CF46EAB"/>
    <w:rsid w:val="5D2E5C6C"/>
    <w:rsid w:val="5D9B2E26"/>
    <w:rsid w:val="5DD27ADD"/>
    <w:rsid w:val="5DE420BC"/>
    <w:rsid w:val="5E253B52"/>
    <w:rsid w:val="5E344413"/>
    <w:rsid w:val="5E457765"/>
    <w:rsid w:val="5E94405B"/>
    <w:rsid w:val="5EDB4666"/>
    <w:rsid w:val="5EEC76BA"/>
    <w:rsid w:val="5F0B3100"/>
    <w:rsid w:val="5F1E25AC"/>
    <w:rsid w:val="5F252989"/>
    <w:rsid w:val="5F612E87"/>
    <w:rsid w:val="5F8D457B"/>
    <w:rsid w:val="5F8E5761"/>
    <w:rsid w:val="5F9E1CE0"/>
    <w:rsid w:val="60114716"/>
    <w:rsid w:val="6046413C"/>
    <w:rsid w:val="60694222"/>
    <w:rsid w:val="611E722C"/>
    <w:rsid w:val="61693AFA"/>
    <w:rsid w:val="61847962"/>
    <w:rsid w:val="61D07261"/>
    <w:rsid w:val="61D907AC"/>
    <w:rsid w:val="62424D3A"/>
    <w:rsid w:val="6285132F"/>
    <w:rsid w:val="62964217"/>
    <w:rsid w:val="62E17783"/>
    <w:rsid w:val="63576769"/>
    <w:rsid w:val="63E90B83"/>
    <w:rsid w:val="640C437C"/>
    <w:rsid w:val="64327E20"/>
    <w:rsid w:val="64843A70"/>
    <w:rsid w:val="649861F9"/>
    <w:rsid w:val="64A11AC4"/>
    <w:rsid w:val="64D67F11"/>
    <w:rsid w:val="65B94585"/>
    <w:rsid w:val="65DE5408"/>
    <w:rsid w:val="65EA6AB4"/>
    <w:rsid w:val="665C2921"/>
    <w:rsid w:val="66A66AE8"/>
    <w:rsid w:val="66BF622D"/>
    <w:rsid w:val="67247D1B"/>
    <w:rsid w:val="672E045E"/>
    <w:rsid w:val="674337A3"/>
    <w:rsid w:val="675619A9"/>
    <w:rsid w:val="6774157C"/>
    <w:rsid w:val="6775368D"/>
    <w:rsid w:val="67D51653"/>
    <w:rsid w:val="689C1AAD"/>
    <w:rsid w:val="68F909F1"/>
    <w:rsid w:val="69480018"/>
    <w:rsid w:val="69657048"/>
    <w:rsid w:val="69794DCD"/>
    <w:rsid w:val="6A591152"/>
    <w:rsid w:val="6AB32CA8"/>
    <w:rsid w:val="6ADB7480"/>
    <w:rsid w:val="6AF62BED"/>
    <w:rsid w:val="6B487F5F"/>
    <w:rsid w:val="6B8056FF"/>
    <w:rsid w:val="6B9A445C"/>
    <w:rsid w:val="6C944848"/>
    <w:rsid w:val="6D1160C0"/>
    <w:rsid w:val="6D434DF6"/>
    <w:rsid w:val="6D7970EE"/>
    <w:rsid w:val="6DA35752"/>
    <w:rsid w:val="6DB7480E"/>
    <w:rsid w:val="6DE017C7"/>
    <w:rsid w:val="6E313457"/>
    <w:rsid w:val="6E4E6F06"/>
    <w:rsid w:val="6E553629"/>
    <w:rsid w:val="6E991950"/>
    <w:rsid w:val="6E9A4790"/>
    <w:rsid w:val="6EB30EA3"/>
    <w:rsid w:val="6EBA7C66"/>
    <w:rsid w:val="6EF708DC"/>
    <w:rsid w:val="6F4423C7"/>
    <w:rsid w:val="6F454025"/>
    <w:rsid w:val="6FD04710"/>
    <w:rsid w:val="6FDC7E03"/>
    <w:rsid w:val="70756A04"/>
    <w:rsid w:val="709C795A"/>
    <w:rsid w:val="70A14FF1"/>
    <w:rsid w:val="70CF35B1"/>
    <w:rsid w:val="70EF6B72"/>
    <w:rsid w:val="71084981"/>
    <w:rsid w:val="711F376A"/>
    <w:rsid w:val="7141685E"/>
    <w:rsid w:val="714968D3"/>
    <w:rsid w:val="714A7311"/>
    <w:rsid w:val="71727EB1"/>
    <w:rsid w:val="719E2DCA"/>
    <w:rsid w:val="726016E3"/>
    <w:rsid w:val="727226D5"/>
    <w:rsid w:val="72E310A8"/>
    <w:rsid w:val="73054385"/>
    <w:rsid w:val="731A3117"/>
    <w:rsid w:val="73AC2133"/>
    <w:rsid w:val="74030DEC"/>
    <w:rsid w:val="74076B7D"/>
    <w:rsid w:val="74210878"/>
    <w:rsid w:val="74265F82"/>
    <w:rsid w:val="74303E2E"/>
    <w:rsid w:val="743C3C52"/>
    <w:rsid w:val="749F2F54"/>
    <w:rsid w:val="751C0793"/>
    <w:rsid w:val="760E1400"/>
    <w:rsid w:val="76540C50"/>
    <w:rsid w:val="76AE02AE"/>
    <w:rsid w:val="76B378B4"/>
    <w:rsid w:val="76B80C95"/>
    <w:rsid w:val="772D6248"/>
    <w:rsid w:val="7747538A"/>
    <w:rsid w:val="77897EAF"/>
    <w:rsid w:val="77B12B93"/>
    <w:rsid w:val="77CA56E7"/>
    <w:rsid w:val="785B26F0"/>
    <w:rsid w:val="78A50B95"/>
    <w:rsid w:val="7944489D"/>
    <w:rsid w:val="794E302F"/>
    <w:rsid w:val="798A2125"/>
    <w:rsid w:val="79A80C1F"/>
    <w:rsid w:val="7A2B1319"/>
    <w:rsid w:val="7A381D9C"/>
    <w:rsid w:val="7A6E055E"/>
    <w:rsid w:val="7A873527"/>
    <w:rsid w:val="7AA8542F"/>
    <w:rsid w:val="7AAF2948"/>
    <w:rsid w:val="7AEA550F"/>
    <w:rsid w:val="7AF54C3D"/>
    <w:rsid w:val="7B560EE2"/>
    <w:rsid w:val="7B6954EB"/>
    <w:rsid w:val="7B993A3A"/>
    <w:rsid w:val="7BE30FFF"/>
    <w:rsid w:val="7C2259D3"/>
    <w:rsid w:val="7C244DD8"/>
    <w:rsid w:val="7C284723"/>
    <w:rsid w:val="7C50275D"/>
    <w:rsid w:val="7C7615D3"/>
    <w:rsid w:val="7CAD44D2"/>
    <w:rsid w:val="7CCB4C5D"/>
    <w:rsid w:val="7CEC0AEF"/>
    <w:rsid w:val="7D0046F0"/>
    <w:rsid w:val="7D4F3AC8"/>
    <w:rsid w:val="7D592758"/>
    <w:rsid w:val="7DA71654"/>
    <w:rsid w:val="7DBE62FB"/>
    <w:rsid w:val="7E31604E"/>
    <w:rsid w:val="7E3C1A92"/>
    <w:rsid w:val="7E5258F5"/>
    <w:rsid w:val="7E890D2D"/>
    <w:rsid w:val="7F1676EC"/>
    <w:rsid w:val="7F8244EA"/>
    <w:rsid w:val="7FD81D3B"/>
    <w:rsid w:val="7FDC56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6">
    <w:name w:val="Body Text First Indent 2"/>
    <w:link w:val="9"/>
    <w:unhideWhenUsed/>
    <w:qFormat/>
    <w:uiPriority w:val="99"/>
    <w:pPr>
      <w:ind w:firstLine="420" w:firstLineChars="200"/>
    </w:pPr>
    <w:rPr>
      <w:rFonts w:ascii="Times New Roman" w:hAnsi="Times New Roman" w:eastAsia="宋体" w:cs="Times New Roman"/>
      <w:lang w:val="en-US" w:eastAsia="zh-CN" w:bidi="ar-SA"/>
    </w:rPr>
  </w:style>
  <w:style w:type="character" w:customStyle="1" w:styleId="9">
    <w:name w:val="正文首行缩进 2 Char"/>
    <w:basedOn w:val="8"/>
    <w:link w:val="6"/>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00A32-E3DF-4470-B65B-596EBB35324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34</Pages>
  <Words>2705</Words>
  <Characters>15423</Characters>
  <Lines>128</Lines>
  <Paragraphs>36</Paragraphs>
  <TotalTime>833</TotalTime>
  <ScaleCrop>false</ScaleCrop>
  <LinksUpToDate>false</LinksUpToDate>
  <CharactersWithSpaces>18092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2021-05-11T02:32:00Z</dcterms:created>
  <dc:creator>606wang</dc:creator>
  <cp:lastModifiedBy>崔崔</cp:lastModifiedBy>
  <cp:lastPrinted>2021-09-16T14:31:00Z</cp:lastPrinted>
  <dcterms:modified xsi:type="dcterms:W3CDTF">2021-09-29T07:54:15Z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97035EC2BC0D4F559932218DA10244AE</vt:lpwstr>
  </property>
  <property fmtid="{D5CDD505-2E9C-101B-9397-08002B2CF9AE}" pid="4" name="KSOSaveFontToCloudKey">
    <vt:lpwstr>746810634_btnclosed</vt:lpwstr>
  </property>
</Properties>
</file>